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FA664" w14:textId="77777777" w:rsidR="005A74C2" w:rsidRDefault="005A74C2" w:rsidP="009E5762">
      <w:pPr>
        <w:pStyle w:val="Heading1"/>
        <w:spacing w:before="0" w:after="120" w:line="240" w:lineRule="atLeast"/>
        <w:contextualSpacing/>
        <w:rPr>
          <w:rFonts w:asciiTheme="majorHAnsi" w:hAnsiTheme="majorHAnsi" w:cstheme="majorHAnsi"/>
        </w:rPr>
      </w:pPr>
      <w:bookmarkStart w:id="0" w:name="_Hlk185402248"/>
    </w:p>
    <w:p w14:paraId="63A25E07" w14:textId="1EB32F70" w:rsidR="009E5762" w:rsidRPr="00EB1560" w:rsidRDefault="009E5762" w:rsidP="009E5762">
      <w:pPr>
        <w:pStyle w:val="Heading1"/>
        <w:spacing w:before="0" w:after="120" w:line="240" w:lineRule="atLeast"/>
        <w:contextualSpacing/>
        <w:rPr>
          <w:rFonts w:asciiTheme="majorHAnsi" w:hAnsiTheme="majorHAnsi" w:cstheme="majorHAnsi"/>
        </w:rPr>
      </w:pPr>
      <w:r w:rsidRPr="00EB1560">
        <w:rPr>
          <w:rFonts w:asciiTheme="majorHAnsi" w:hAnsiTheme="majorHAnsi" w:cstheme="majorHAnsi"/>
        </w:rPr>
        <w:t xml:space="preserve">COMMUNIQUÉ SUR WES-BCA                    </w:t>
      </w:r>
    </w:p>
    <w:p w14:paraId="66FE25B5" w14:textId="77777777" w:rsidR="009E5762" w:rsidRPr="00EB1560" w:rsidRDefault="009E5762" w:rsidP="009E5762">
      <w:pPr>
        <w:spacing w:after="120" w:line="240" w:lineRule="atLeast"/>
        <w:contextualSpacing/>
        <w:rPr>
          <w:rFonts w:asciiTheme="majorHAnsi" w:hAnsiTheme="majorHAnsi" w:cstheme="majorHAnsi"/>
          <w:sz w:val="12"/>
          <w:szCs w:val="12"/>
        </w:rPr>
      </w:pPr>
    </w:p>
    <w:p w14:paraId="6E06C8B0" w14:textId="5CA7AD72" w:rsidR="007820DA" w:rsidRPr="00EB1560" w:rsidRDefault="00980A8B" w:rsidP="00963A6D">
      <w:pPr>
        <w:pStyle w:val="Style2"/>
        <w:shd w:val="clear" w:color="auto" w:fill="D6EEED"/>
      </w:pPr>
      <w:r w:rsidRPr="00EB1560">
        <w:t xml:space="preserve">Le </w:t>
      </w:r>
      <w:r w:rsidR="00946B21" w:rsidRPr="00EB1560">
        <w:t xml:space="preserve">plan de travail du projet WES-BCA, </w:t>
      </w:r>
      <w:r w:rsidR="007F2395" w:rsidRPr="00EB1560">
        <w:t>comprenant</w:t>
      </w:r>
      <w:r w:rsidR="002D2FBF" w:rsidRPr="00EB1560">
        <w:t xml:space="preserve"> </w:t>
      </w:r>
      <w:r w:rsidR="00946B21" w:rsidRPr="00EB1560">
        <w:t xml:space="preserve">27 activités et </w:t>
      </w:r>
      <w:r w:rsidR="007F2395" w:rsidRPr="00EB1560">
        <w:t xml:space="preserve">des </w:t>
      </w:r>
      <w:r w:rsidR="00946B21" w:rsidRPr="00EB1560">
        <w:t xml:space="preserve">campagnes de sensibilisation en faveur </w:t>
      </w:r>
      <w:r w:rsidR="00C83BD4" w:rsidRPr="00EB1560">
        <w:t>de la lutte</w:t>
      </w:r>
      <w:r w:rsidR="00946B21" w:rsidRPr="00EB1560">
        <w:t xml:space="preserve"> contre le changement climatique et </w:t>
      </w:r>
      <w:r w:rsidR="00C83BD4" w:rsidRPr="00EB1560">
        <w:t xml:space="preserve">de </w:t>
      </w:r>
      <w:r w:rsidR="00946B21" w:rsidRPr="00EB1560">
        <w:t xml:space="preserve">la protection de l’environnement, a été approuvé lors de la première réunion du comité de pilotage </w:t>
      </w:r>
    </w:p>
    <w:bookmarkEnd w:id="0"/>
    <w:p w14:paraId="255C0EBC" w14:textId="77777777" w:rsidR="003440D5" w:rsidRPr="00EB1560" w:rsidRDefault="003440D5" w:rsidP="002266FD">
      <w:pPr>
        <w:pStyle w:val="NormalWeb"/>
        <w:spacing w:before="0" w:beforeAutospacing="0" w:after="120" w:afterAutospacing="0" w:line="240" w:lineRule="atLeast"/>
        <w:contextualSpacing/>
        <w:rPr>
          <w:rFonts w:asciiTheme="majorHAnsi" w:hAnsiTheme="majorHAnsi" w:cstheme="majorHAnsi"/>
          <w:sz w:val="22"/>
          <w:szCs w:val="22"/>
        </w:rPr>
      </w:pPr>
    </w:p>
    <w:p w14:paraId="4215769C" w14:textId="167542E4" w:rsidR="00980676" w:rsidRPr="005A74C2" w:rsidRDefault="009D5648" w:rsidP="00C83BD4">
      <w:pPr>
        <w:pStyle w:val="NormalWeb"/>
        <w:spacing w:before="0" w:beforeAutospacing="0" w:after="120" w:afterAutospacing="0" w:line="240" w:lineRule="atLeast"/>
        <w:contextualSpacing/>
        <w:rPr>
          <w:rFonts w:asciiTheme="majorHAnsi" w:hAnsiTheme="majorHAnsi" w:cstheme="majorHAnsi"/>
          <w:sz w:val="21"/>
          <w:szCs w:val="21"/>
        </w:rPr>
      </w:pPr>
      <w:r w:rsidRPr="005A74C2">
        <w:rPr>
          <w:rFonts w:asciiTheme="majorHAnsi" w:hAnsiTheme="majorHAnsi"/>
          <w:sz w:val="21"/>
          <w:szCs w:val="21"/>
        </w:rPr>
        <w:t xml:space="preserve">Athènes, le </w:t>
      </w:r>
      <w:r w:rsidR="00D8410C">
        <w:rPr>
          <w:rFonts w:asciiTheme="majorHAnsi" w:hAnsiTheme="majorHAnsi"/>
          <w:sz w:val="21"/>
          <w:szCs w:val="21"/>
        </w:rPr>
        <w:t>2</w:t>
      </w:r>
      <w:r w:rsidR="009652B6">
        <w:rPr>
          <w:rFonts w:asciiTheme="majorHAnsi" w:hAnsiTheme="majorHAnsi"/>
          <w:sz w:val="21"/>
          <w:szCs w:val="21"/>
        </w:rPr>
        <w:t xml:space="preserve">7 </w:t>
      </w:r>
      <w:r w:rsidR="00AE2CBF" w:rsidRPr="005A74C2">
        <w:rPr>
          <w:rFonts w:asciiTheme="majorHAnsi" w:hAnsiTheme="majorHAnsi"/>
          <w:sz w:val="21"/>
          <w:szCs w:val="21"/>
        </w:rPr>
        <w:t>mai</w:t>
      </w:r>
      <w:r w:rsidRPr="005A74C2">
        <w:rPr>
          <w:rFonts w:asciiTheme="majorHAnsi" w:hAnsiTheme="majorHAnsi"/>
          <w:sz w:val="21"/>
          <w:szCs w:val="21"/>
        </w:rPr>
        <w:t xml:space="preserve"> 202</w:t>
      </w:r>
      <w:r w:rsidR="00AE2CBF" w:rsidRPr="005A74C2">
        <w:rPr>
          <w:rFonts w:asciiTheme="majorHAnsi" w:hAnsiTheme="majorHAnsi"/>
          <w:sz w:val="21"/>
          <w:szCs w:val="21"/>
        </w:rPr>
        <w:t>5</w:t>
      </w:r>
    </w:p>
    <w:p w14:paraId="4C740D0C" w14:textId="77777777" w:rsidR="00980676" w:rsidRPr="005A74C2" w:rsidRDefault="00980676" w:rsidP="00980676">
      <w:pPr>
        <w:pStyle w:val="NormalWeb"/>
        <w:spacing w:before="0" w:beforeAutospacing="0" w:after="120" w:afterAutospacing="0" w:line="240" w:lineRule="atLeast"/>
        <w:contextualSpacing/>
        <w:rPr>
          <w:rFonts w:asciiTheme="majorHAnsi" w:hAnsiTheme="majorHAnsi" w:cstheme="majorHAnsi"/>
          <w:sz w:val="21"/>
          <w:szCs w:val="21"/>
        </w:rPr>
      </w:pPr>
    </w:p>
    <w:p w14:paraId="6CA1221F" w14:textId="24733904" w:rsidR="00937BE0" w:rsidRPr="005A74C2" w:rsidRDefault="00980676" w:rsidP="00937BE0">
      <w:pPr>
        <w:pStyle w:val="NormalWeb"/>
        <w:spacing w:before="0" w:beforeAutospacing="0" w:after="120" w:afterAutospacing="0" w:line="240" w:lineRule="atLeast"/>
        <w:contextualSpacing/>
        <w:jc w:val="both"/>
        <w:rPr>
          <w:rFonts w:asciiTheme="majorHAnsi" w:hAnsiTheme="majorHAnsi"/>
          <w:b/>
          <w:sz w:val="21"/>
          <w:szCs w:val="21"/>
        </w:rPr>
      </w:pPr>
      <w:bookmarkStart w:id="1" w:name="_Hlk184921066"/>
      <w:r w:rsidRPr="005A74C2">
        <w:rPr>
          <w:rFonts w:asciiTheme="majorHAnsi" w:hAnsiTheme="majorHAnsi"/>
          <w:b/>
          <w:sz w:val="21"/>
          <w:szCs w:val="21"/>
        </w:rPr>
        <w:t xml:space="preserve">Le projet </w:t>
      </w:r>
      <w:r w:rsidR="00EB1560" w:rsidRPr="005A74C2">
        <w:rPr>
          <w:rFonts w:asciiTheme="majorHAnsi" w:hAnsiTheme="majorHAnsi"/>
          <w:b/>
          <w:sz w:val="21"/>
          <w:szCs w:val="21"/>
        </w:rPr>
        <w:t>«</w:t>
      </w:r>
      <w:r w:rsidR="00467041">
        <w:rPr>
          <w:rFonts w:asciiTheme="majorHAnsi" w:hAnsiTheme="majorHAnsi"/>
          <w:b/>
          <w:sz w:val="21"/>
          <w:szCs w:val="21"/>
        </w:rPr>
        <w:t xml:space="preserve"> </w:t>
      </w:r>
      <w:r w:rsidRPr="005A74C2">
        <w:rPr>
          <w:rFonts w:asciiTheme="majorHAnsi" w:hAnsiTheme="majorHAnsi"/>
          <w:b/>
          <w:sz w:val="21"/>
          <w:szCs w:val="21"/>
        </w:rPr>
        <w:t xml:space="preserve">Water and Environment Support-Biodiversity and Climate </w:t>
      </w:r>
      <w:r w:rsidR="009D7515" w:rsidRPr="005A74C2">
        <w:rPr>
          <w:rFonts w:asciiTheme="majorHAnsi" w:hAnsiTheme="majorHAnsi"/>
          <w:b/>
          <w:sz w:val="21"/>
          <w:szCs w:val="21"/>
        </w:rPr>
        <w:t>Action</w:t>
      </w:r>
      <w:r w:rsidRPr="005A74C2">
        <w:rPr>
          <w:rFonts w:asciiTheme="majorHAnsi" w:hAnsiTheme="majorHAnsi"/>
          <w:b/>
          <w:sz w:val="21"/>
          <w:szCs w:val="21"/>
        </w:rPr>
        <w:t xml:space="preserve"> (WES-BCA) </w:t>
      </w:r>
      <w:r w:rsidR="00A705E8" w:rsidRPr="005A74C2">
        <w:rPr>
          <w:rFonts w:asciiTheme="majorHAnsi" w:hAnsiTheme="majorHAnsi"/>
          <w:b/>
          <w:sz w:val="21"/>
          <w:szCs w:val="21"/>
        </w:rPr>
        <w:t>in the Neighbourhood South region</w:t>
      </w:r>
      <w:r w:rsidR="00467041">
        <w:rPr>
          <w:rFonts w:asciiTheme="majorHAnsi" w:hAnsiTheme="majorHAnsi"/>
          <w:b/>
          <w:sz w:val="21"/>
          <w:szCs w:val="21"/>
        </w:rPr>
        <w:t xml:space="preserve"> </w:t>
      </w:r>
      <w:r w:rsidR="00AE2CBF" w:rsidRPr="005A74C2">
        <w:rPr>
          <w:rFonts w:asciiTheme="majorHAnsi" w:hAnsiTheme="majorHAnsi"/>
          <w:b/>
          <w:sz w:val="21"/>
          <w:szCs w:val="21"/>
        </w:rPr>
        <w:t>»</w:t>
      </w:r>
      <w:bookmarkEnd w:id="1"/>
      <w:r w:rsidR="00937BE0" w:rsidRPr="005A74C2">
        <w:rPr>
          <w:rFonts w:asciiTheme="majorHAnsi" w:hAnsiTheme="majorHAnsi"/>
          <w:b/>
          <w:sz w:val="21"/>
          <w:szCs w:val="21"/>
        </w:rPr>
        <w:t xml:space="preserve"> a présenté les 27 activités nationales et régionales, formations, visites d'étude, ateliers, consultations ainsi que les campagnes de sensibilisation à grande échelle qui seront menées dans l'Est et le Sud de la Méditerranée, dont beaucoup sont liées à la pollution plastique, à l’approche Nexus Eau-Énergie-Alimentation-Écosystèmes (WEFE), à la biodiversité et à la rareté de l'eau.</w:t>
      </w:r>
    </w:p>
    <w:p w14:paraId="6B5C5FD7" w14:textId="4E0D8640" w:rsidR="00960A68" w:rsidRPr="005A74C2" w:rsidRDefault="00937BE0" w:rsidP="009E5762">
      <w:pPr>
        <w:pStyle w:val="NormalWeb"/>
        <w:spacing w:before="0" w:beforeAutospacing="0" w:after="120" w:afterAutospacing="0" w:line="240" w:lineRule="atLeast"/>
        <w:contextualSpacing/>
        <w:jc w:val="both"/>
        <w:rPr>
          <w:rFonts w:asciiTheme="majorHAnsi" w:hAnsiTheme="majorHAnsi"/>
          <w:b/>
          <w:sz w:val="21"/>
          <w:szCs w:val="21"/>
        </w:rPr>
      </w:pPr>
      <w:r w:rsidRPr="005A74C2">
        <w:rPr>
          <w:rFonts w:asciiTheme="majorHAnsi" w:hAnsiTheme="majorHAnsi"/>
          <w:b/>
          <w:sz w:val="21"/>
          <w:szCs w:val="21"/>
        </w:rPr>
        <w:t>Le plan de travail du projet WES-BCA a été discuté parmi les experts WES-BCA, les 16 points focaux des ministères de l’Environnent et de l’Eau concernées des 8 pays partenaires (dont l’Algérie, l’Egypte, l’Israël, la Jordanie, le Liban, le Maroc, la Palestine et la Tunisie), les délégations européennes, les partenaires institutionnels (Union pour la Méditerranée et Convention de Barcelone) et différentes autres parties prenantes. Le plan de travail du projet WES-BCA a été approuvé lors de la première réunion du comité de pilotage du projet le 26 mai 2025 à Bruxelles, en Belgique.</w:t>
      </w:r>
    </w:p>
    <w:p w14:paraId="5C123622" w14:textId="77777777" w:rsidR="00417351" w:rsidRPr="005A74C2" w:rsidRDefault="00417351" w:rsidP="009E5762">
      <w:pPr>
        <w:pStyle w:val="NormalWeb"/>
        <w:spacing w:before="0" w:beforeAutospacing="0" w:after="120" w:afterAutospacing="0" w:line="240" w:lineRule="atLeast"/>
        <w:contextualSpacing/>
        <w:jc w:val="both"/>
        <w:rPr>
          <w:rFonts w:asciiTheme="majorHAnsi" w:hAnsiTheme="majorHAnsi"/>
          <w:b/>
          <w:sz w:val="21"/>
          <w:szCs w:val="21"/>
        </w:rPr>
      </w:pPr>
    </w:p>
    <w:p w14:paraId="2D9FFE89" w14:textId="63AA4094" w:rsidR="00937BE0" w:rsidRPr="005A74C2" w:rsidRDefault="00937BE0" w:rsidP="00937BE0">
      <w:pPr>
        <w:pStyle w:val="NormalWeb"/>
        <w:spacing w:before="0" w:beforeAutospacing="0" w:after="120" w:afterAutospacing="0" w:line="240" w:lineRule="atLeast"/>
        <w:contextualSpacing/>
        <w:jc w:val="both"/>
        <w:rPr>
          <w:rFonts w:asciiTheme="majorHAnsi" w:hAnsiTheme="majorHAnsi" w:cstheme="majorHAnsi"/>
          <w:bCs/>
          <w:sz w:val="21"/>
          <w:szCs w:val="21"/>
        </w:rPr>
      </w:pPr>
      <w:bookmarkStart w:id="2" w:name="_Hlk198128367"/>
      <w:r w:rsidRPr="005A74C2">
        <w:rPr>
          <w:rFonts w:asciiTheme="majorHAnsi" w:hAnsiTheme="majorHAnsi" w:cstheme="majorHAnsi"/>
          <w:bCs/>
          <w:sz w:val="21"/>
          <w:szCs w:val="21"/>
        </w:rPr>
        <w:t xml:space="preserve">Sur la base des précieux retours des participants </w:t>
      </w:r>
      <w:r w:rsidR="003E16DF" w:rsidRPr="005A74C2">
        <w:rPr>
          <w:rFonts w:asciiTheme="majorHAnsi" w:hAnsiTheme="majorHAnsi" w:cstheme="majorHAnsi"/>
          <w:bCs/>
          <w:sz w:val="21"/>
          <w:szCs w:val="21"/>
        </w:rPr>
        <w:t>de</w:t>
      </w:r>
      <w:r w:rsidRPr="005A74C2">
        <w:rPr>
          <w:rFonts w:asciiTheme="majorHAnsi" w:hAnsiTheme="majorHAnsi" w:cstheme="majorHAnsi"/>
          <w:bCs/>
          <w:sz w:val="21"/>
          <w:szCs w:val="21"/>
        </w:rPr>
        <w:t xml:space="preserve"> la première réunion d</w:t>
      </w:r>
      <w:r w:rsidR="002D2FBF" w:rsidRPr="005A74C2">
        <w:rPr>
          <w:rFonts w:asciiTheme="majorHAnsi" w:hAnsiTheme="majorHAnsi" w:cstheme="majorHAnsi"/>
          <w:bCs/>
          <w:sz w:val="21"/>
          <w:szCs w:val="21"/>
        </w:rPr>
        <w:t>u comité de</w:t>
      </w:r>
      <w:r w:rsidRPr="005A74C2">
        <w:rPr>
          <w:rFonts w:asciiTheme="majorHAnsi" w:hAnsiTheme="majorHAnsi" w:cstheme="majorHAnsi"/>
          <w:bCs/>
          <w:sz w:val="21"/>
          <w:szCs w:val="21"/>
        </w:rPr>
        <w:t xml:space="preserve"> pilotage sur les questions à aborder au cours des deux prochaines années et demie, le plan d’action sera mis en œuvre sous la forme de deux composantes complémentaires.</w:t>
      </w:r>
    </w:p>
    <w:p w14:paraId="5AE65ED6" w14:textId="77777777" w:rsidR="00937BE0" w:rsidRPr="005A74C2" w:rsidRDefault="00937BE0" w:rsidP="00937BE0">
      <w:pPr>
        <w:pStyle w:val="NormalWeb"/>
        <w:spacing w:before="0" w:beforeAutospacing="0" w:after="120" w:afterAutospacing="0" w:line="240" w:lineRule="atLeast"/>
        <w:contextualSpacing/>
        <w:jc w:val="both"/>
        <w:rPr>
          <w:rFonts w:asciiTheme="majorHAnsi" w:hAnsiTheme="majorHAnsi" w:cstheme="majorHAnsi"/>
          <w:b/>
          <w:sz w:val="21"/>
          <w:szCs w:val="21"/>
        </w:rPr>
      </w:pPr>
      <w:r w:rsidRPr="005A74C2">
        <w:rPr>
          <w:rFonts w:asciiTheme="majorHAnsi" w:hAnsiTheme="majorHAnsi" w:cstheme="majorHAnsi"/>
          <w:b/>
          <w:sz w:val="21"/>
          <w:szCs w:val="21"/>
        </w:rPr>
        <w:t xml:space="preserve">Dans le cadre de la Composante I, les questions abordées portent sur cinq (5) thèmes: prévention et réduction de la pollution, réduction de la pollution plastique et des déchets marins, promotion </w:t>
      </w:r>
      <w:bookmarkStart w:id="3" w:name="_Hlk198217719"/>
      <w:r w:rsidRPr="005A74C2">
        <w:rPr>
          <w:rFonts w:asciiTheme="majorHAnsi" w:hAnsiTheme="majorHAnsi" w:cstheme="majorHAnsi"/>
          <w:b/>
          <w:sz w:val="21"/>
          <w:szCs w:val="21"/>
        </w:rPr>
        <w:t>de l’approche Nexus Eau-Énergie-Alimentation-Écosystèmes (WEFE),</w:t>
      </w:r>
      <w:bookmarkEnd w:id="3"/>
      <w:r w:rsidRPr="005A74C2">
        <w:rPr>
          <w:rFonts w:asciiTheme="majorHAnsi" w:hAnsiTheme="majorHAnsi" w:cstheme="majorHAnsi"/>
          <w:b/>
          <w:sz w:val="21"/>
          <w:szCs w:val="21"/>
        </w:rPr>
        <w:t xml:space="preserve"> promotion de l’efficacité de l’eau à toutes les étapes et à tous les niveaux de la gestion et de l’utilisation de l’eau, mesures d'atténuation et d'adaptation au changement climatique, y compris la pénurie d'eau et la protection de la biodiversité.</w:t>
      </w:r>
    </w:p>
    <w:p w14:paraId="7C42035C" w14:textId="34367DF2" w:rsidR="00F96B81" w:rsidRPr="005A74C2" w:rsidRDefault="00937BE0" w:rsidP="00F96B81">
      <w:pPr>
        <w:pStyle w:val="NormalWeb"/>
        <w:spacing w:before="0" w:beforeAutospacing="0" w:after="120" w:afterAutospacing="0" w:line="240" w:lineRule="atLeast"/>
        <w:contextualSpacing/>
        <w:jc w:val="both"/>
        <w:rPr>
          <w:rFonts w:asciiTheme="majorHAnsi" w:hAnsiTheme="majorHAnsi" w:cstheme="majorHAnsi"/>
          <w:b/>
          <w:sz w:val="21"/>
          <w:szCs w:val="21"/>
        </w:rPr>
      </w:pPr>
      <w:bookmarkStart w:id="4" w:name="_Hlk198134569"/>
      <w:bookmarkEnd w:id="2"/>
      <w:r w:rsidRPr="005A74C2">
        <w:rPr>
          <w:rFonts w:asciiTheme="majorHAnsi" w:hAnsiTheme="majorHAnsi" w:cstheme="majorHAnsi"/>
          <w:b/>
          <w:sz w:val="21"/>
          <w:szCs w:val="21"/>
        </w:rPr>
        <w:t>Dans le cadre de l</w:t>
      </w:r>
      <w:r w:rsidR="009E4362" w:rsidRPr="005A74C2">
        <w:rPr>
          <w:rFonts w:asciiTheme="majorHAnsi" w:hAnsiTheme="majorHAnsi" w:cstheme="majorHAnsi"/>
          <w:b/>
          <w:sz w:val="21"/>
          <w:szCs w:val="21"/>
        </w:rPr>
        <w:t>a</w:t>
      </w:r>
      <w:r w:rsidRPr="005A74C2">
        <w:rPr>
          <w:rFonts w:asciiTheme="majorHAnsi" w:hAnsiTheme="majorHAnsi" w:cstheme="majorHAnsi"/>
          <w:b/>
          <w:sz w:val="21"/>
          <w:szCs w:val="21"/>
        </w:rPr>
        <w:t xml:space="preserve"> Composant</w:t>
      </w:r>
      <w:r w:rsidR="009E4362" w:rsidRPr="005A74C2">
        <w:rPr>
          <w:rFonts w:asciiTheme="majorHAnsi" w:hAnsiTheme="majorHAnsi" w:cstheme="majorHAnsi"/>
          <w:b/>
          <w:sz w:val="21"/>
          <w:szCs w:val="21"/>
        </w:rPr>
        <w:t>e</w:t>
      </w:r>
      <w:r w:rsidRPr="005A74C2">
        <w:rPr>
          <w:rFonts w:asciiTheme="majorHAnsi" w:hAnsiTheme="majorHAnsi" w:cstheme="majorHAnsi"/>
          <w:b/>
          <w:sz w:val="21"/>
          <w:szCs w:val="21"/>
        </w:rPr>
        <w:t xml:space="preserve"> II, le projet WES-BCA vise à sensibiliser et à améliorer la compréhension par le grand publique (et par segments spécifiques de la population), y compris les jeunes et les femmes, en </w:t>
      </w:r>
      <w:r w:rsidR="00F96B81" w:rsidRPr="005A74C2">
        <w:rPr>
          <w:rFonts w:asciiTheme="majorHAnsi" w:hAnsiTheme="majorHAnsi" w:cstheme="majorHAnsi"/>
          <w:b/>
          <w:sz w:val="21"/>
          <w:szCs w:val="21"/>
        </w:rPr>
        <w:t>s</w:t>
      </w:r>
      <w:r w:rsidRPr="005A74C2">
        <w:rPr>
          <w:rFonts w:asciiTheme="majorHAnsi" w:hAnsiTheme="majorHAnsi" w:cstheme="majorHAnsi"/>
          <w:b/>
          <w:sz w:val="21"/>
          <w:szCs w:val="21"/>
        </w:rPr>
        <w:t>timulant l’adoption de comportements et d’attitudes appropriés en faveur d’une meilleure action climatique et d’une protection efficace de l’environnement.</w:t>
      </w:r>
      <w:bookmarkStart w:id="5" w:name="_Hlk198134870"/>
      <w:bookmarkEnd w:id="4"/>
      <w:r w:rsidR="00F96B81" w:rsidRPr="005A74C2">
        <w:rPr>
          <w:rFonts w:asciiTheme="majorHAnsi" w:hAnsiTheme="majorHAnsi" w:cstheme="majorHAnsi"/>
          <w:b/>
          <w:sz w:val="21"/>
          <w:szCs w:val="21"/>
        </w:rPr>
        <w:t xml:space="preserve"> </w:t>
      </w:r>
    </w:p>
    <w:p w14:paraId="518FF217" w14:textId="77777777" w:rsidR="007332A2" w:rsidRPr="005A74C2" w:rsidRDefault="00925363" w:rsidP="007332A2">
      <w:pPr>
        <w:pStyle w:val="NormalWeb"/>
        <w:spacing w:after="120" w:line="240" w:lineRule="atLeast"/>
        <w:contextualSpacing/>
        <w:jc w:val="both"/>
        <w:rPr>
          <w:rFonts w:ascii="inherit" w:eastAsia="Times New Roman" w:hAnsi="inherit" w:cs="Courier New"/>
          <w:color w:val="1F1F1F"/>
          <w:sz w:val="21"/>
          <w:szCs w:val="21"/>
        </w:rPr>
      </w:pPr>
      <w:r w:rsidRPr="005A74C2">
        <w:rPr>
          <w:rFonts w:asciiTheme="majorHAnsi" w:hAnsiTheme="majorHAnsi" w:cstheme="majorHAnsi"/>
          <w:bCs/>
          <w:sz w:val="21"/>
          <w:szCs w:val="21"/>
        </w:rPr>
        <w:t xml:space="preserve">Dans son allocution d’ouverture, </w:t>
      </w:r>
      <w:r w:rsidRPr="005A74C2">
        <w:rPr>
          <w:rFonts w:asciiTheme="majorHAnsi" w:hAnsiTheme="majorHAnsi" w:cstheme="majorHAnsi"/>
          <w:b/>
          <w:sz w:val="21"/>
          <w:szCs w:val="21"/>
        </w:rPr>
        <w:t>M. Patrick Wegerdt, Direction générale de l’environnement (DG-ENV)</w:t>
      </w:r>
      <w:r w:rsidRPr="005A74C2">
        <w:rPr>
          <w:rFonts w:asciiTheme="majorHAnsi" w:hAnsiTheme="majorHAnsi" w:cstheme="majorHAnsi"/>
          <w:bCs/>
          <w:sz w:val="21"/>
          <w:szCs w:val="21"/>
        </w:rPr>
        <w:t>, a réaffirmé l’engagement de l’Union européenne à soutenir les pays du voisinage sud à travers les activités du projet WES-BCA, qui suivent les principes du Pacte vert pour l’Europe (initiatives politiques de l’UE) sur la voie d’économies à faible émission de carbone et plus efficaces dans l'utilisation des ressources, avec pour objectif ultime d’atteindre la neutralité climatique d’ici 2050.</w:t>
      </w:r>
      <w:bookmarkStart w:id="6" w:name="_Hlk198205649"/>
      <w:r w:rsidR="007332A2" w:rsidRPr="005A74C2">
        <w:rPr>
          <w:rFonts w:ascii="inherit" w:eastAsia="Times New Roman" w:hAnsi="inherit" w:cs="Courier New"/>
          <w:color w:val="1F1F1F"/>
          <w:sz w:val="21"/>
          <w:szCs w:val="21"/>
        </w:rPr>
        <w:t xml:space="preserve"> </w:t>
      </w:r>
    </w:p>
    <w:p w14:paraId="070E97D9" w14:textId="77777777" w:rsidR="00885DCD" w:rsidRPr="005A74C2" w:rsidRDefault="00885DCD" w:rsidP="00885DCD">
      <w:pPr>
        <w:pStyle w:val="NormalWeb"/>
        <w:spacing w:before="0" w:beforeAutospacing="0" w:after="120" w:afterAutospacing="0" w:line="240" w:lineRule="atLeast"/>
        <w:contextualSpacing/>
        <w:jc w:val="both"/>
        <w:rPr>
          <w:rFonts w:asciiTheme="majorHAnsi" w:hAnsiTheme="majorHAnsi" w:cstheme="majorHAnsi"/>
          <w:bCs/>
          <w:sz w:val="21"/>
          <w:szCs w:val="21"/>
        </w:rPr>
      </w:pPr>
      <w:r w:rsidRPr="001B31BD">
        <w:rPr>
          <w:rFonts w:asciiTheme="majorHAnsi" w:hAnsiTheme="majorHAnsi" w:cstheme="majorHAnsi"/>
          <w:b/>
          <w:sz w:val="21"/>
          <w:szCs w:val="21"/>
        </w:rPr>
        <w:t>Mme Olfat Hamdan, Responsable de la gestion des programmes, PNUE/PAM-</w:t>
      </w:r>
      <w:proofErr w:type="spellStart"/>
      <w:r w:rsidRPr="001B31BD">
        <w:rPr>
          <w:rFonts w:asciiTheme="majorHAnsi" w:hAnsiTheme="majorHAnsi" w:cstheme="majorHAnsi"/>
          <w:b/>
          <w:sz w:val="21"/>
          <w:szCs w:val="21"/>
        </w:rPr>
        <w:t>MedPol</w:t>
      </w:r>
      <w:proofErr w:type="spellEnd"/>
      <w:r>
        <w:rPr>
          <w:rFonts w:asciiTheme="majorHAnsi" w:hAnsiTheme="majorHAnsi" w:cstheme="majorHAnsi"/>
          <w:b/>
          <w:sz w:val="21"/>
          <w:szCs w:val="21"/>
        </w:rPr>
        <w:t>,</w:t>
      </w:r>
      <w:r w:rsidRPr="001B31BD">
        <w:rPr>
          <w:rFonts w:asciiTheme="majorHAnsi" w:hAnsiTheme="majorHAnsi" w:cstheme="majorHAnsi"/>
          <w:bCs/>
          <w:sz w:val="21"/>
          <w:szCs w:val="21"/>
        </w:rPr>
        <w:t xml:space="preserve"> </w:t>
      </w:r>
      <w:r w:rsidRPr="005A74C2">
        <w:rPr>
          <w:rFonts w:asciiTheme="majorHAnsi" w:hAnsiTheme="majorHAnsi" w:cstheme="majorHAnsi"/>
          <w:bCs/>
          <w:sz w:val="21"/>
          <w:szCs w:val="21"/>
        </w:rPr>
        <w:t xml:space="preserve">a confirmé l’importance accordée au projet WES-BCA et à sa contribution à une mer et une côte méditerranée saine, propre, durable et résiliente au changement climatique, dotée d’écosystèmes productifs et diversifiés sur le plan biologique, une vision également reflétée dans l’Agenda 2030 pour le développement durable. </w:t>
      </w:r>
    </w:p>
    <w:p w14:paraId="7230E4F6" w14:textId="0C848EA8" w:rsidR="000E0A54" w:rsidRPr="00C54D51" w:rsidRDefault="00C54D51" w:rsidP="00C54D51">
      <w:pPr>
        <w:pStyle w:val="NormalWeb"/>
        <w:spacing w:after="120" w:line="240" w:lineRule="atLeast"/>
        <w:contextualSpacing/>
        <w:jc w:val="both"/>
        <w:rPr>
          <w:rFonts w:asciiTheme="majorHAnsi" w:hAnsiTheme="majorHAnsi" w:cstheme="majorHAnsi"/>
          <w:b/>
          <w:sz w:val="21"/>
          <w:szCs w:val="21"/>
        </w:rPr>
      </w:pPr>
      <w:r w:rsidRPr="00C54D51">
        <w:rPr>
          <w:rFonts w:asciiTheme="majorHAnsi" w:hAnsiTheme="majorHAnsi" w:cstheme="majorHAnsi"/>
          <w:b/>
          <w:sz w:val="21"/>
          <w:szCs w:val="21"/>
        </w:rPr>
        <w:t>M</w:t>
      </w:r>
      <w:r>
        <w:rPr>
          <w:rFonts w:asciiTheme="majorHAnsi" w:hAnsiTheme="majorHAnsi" w:cstheme="majorHAnsi"/>
          <w:b/>
          <w:sz w:val="21"/>
          <w:szCs w:val="21"/>
        </w:rPr>
        <w:t>me</w:t>
      </w:r>
      <w:r w:rsidRPr="00C54D51">
        <w:rPr>
          <w:rFonts w:asciiTheme="majorHAnsi" w:hAnsiTheme="majorHAnsi" w:cstheme="majorHAnsi"/>
          <w:b/>
          <w:sz w:val="21"/>
          <w:szCs w:val="21"/>
        </w:rPr>
        <w:t xml:space="preserve"> Cristina Cardenete, Experte Environnement, Eau, Environnement &amp; Economie</w:t>
      </w:r>
      <w:r>
        <w:rPr>
          <w:rFonts w:asciiTheme="majorHAnsi" w:hAnsiTheme="majorHAnsi" w:cstheme="majorHAnsi"/>
          <w:b/>
          <w:sz w:val="21"/>
          <w:szCs w:val="21"/>
        </w:rPr>
        <w:t xml:space="preserve"> </w:t>
      </w:r>
      <w:r w:rsidRPr="00C54D51">
        <w:rPr>
          <w:rFonts w:asciiTheme="majorHAnsi" w:hAnsiTheme="majorHAnsi" w:cstheme="majorHAnsi"/>
          <w:b/>
          <w:sz w:val="21"/>
          <w:szCs w:val="21"/>
        </w:rPr>
        <w:t>bleue, Union pour la</w:t>
      </w:r>
      <w:r>
        <w:rPr>
          <w:rFonts w:asciiTheme="majorHAnsi" w:hAnsiTheme="majorHAnsi" w:cstheme="majorHAnsi"/>
          <w:b/>
          <w:sz w:val="21"/>
          <w:szCs w:val="21"/>
        </w:rPr>
        <w:t xml:space="preserve"> </w:t>
      </w:r>
      <w:r w:rsidRPr="00C54D51">
        <w:rPr>
          <w:rFonts w:asciiTheme="majorHAnsi" w:hAnsiTheme="majorHAnsi" w:cstheme="majorHAnsi"/>
          <w:b/>
          <w:sz w:val="21"/>
          <w:szCs w:val="21"/>
        </w:rPr>
        <w:t>Méditerranée (UpM)</w:t>
      </w:r>
      <w:r w:rsidRPr="00C54D51">
        <w:rPr>
          <w:rFonts w:asciiTheme="majorHAnsi" w:hAnsiTheme="majorHAnsi" w:cstheme="majorHAnsi"/>
          <w:sz w:val="21"/>
          <w:szCs w:val="21"/>
        </w:rPr>
        <w:t>,</w:t>
      </w:r>
      <w:r>
        <w:rPr>
          <w:rFonts w:asciiTheme="majorHAnsi" w:hAnsiTheme="majorHAnsi" w:cstheme="majorHAnsi"/>
          <w:b/>
          <w:bCs/>
          <w:sz w:val="21"/>
          <w:szCs w:val="21"/>
        </w:rPr>
        <w:t xml:space="preserve"> </w:t>
      </w:r>
      <w:r w:rsidR="004D1116" w:rsidRPr="005A74C2">
        <w:rPr>
          <w:rFonts w:asciiTheme="majorHAnsi" w:hAnsiTheme="majorHAnsi" w:cstheme="majorHAnsi"/>
          <w:bCs/>
          <w:sz w:val="21"/>
          <w:szCs w:val="21"/>
        </w:rPr>
        <w:t xml:space="preserve">a exprimé l’engagement de l’Union pour la Méditerranée à promouvoir et à </w:t>
      </w:r>
      <w:r w:rsidR="000E0A54" w:rsidRPr="005A74C2">
        <w:rPr>
          <w:rFonts w:asciiTheme="majorHAnsi" w:hAnsiTheme="majorHAnsi" w:cstheme="majorHAnsi"/>
          <w:bCs/>
          <w:sz w:val="21"/>
          <w:szCs w:val="21"/>
        </w:rPr>
        <w:t xml:space="preserve">faire progresser </w:t>
      </w:r>
      <w:r w:rsidR="004D1116" w:rsidRPr="005A74C2">
        <w:rPr>
          <w:rFonts w:asciiTheme="majorHAnsi" w:hAnsiTheme="majorHAnsi" w:cstheme="majorHAnsi"/>
          <w:bCs/>
          <w:sz w:val="21"/>
          <w:szCs w:val="21"/>
        </w:rPr>
        <w:t>une étroite collaboration avec WES-BCA dans la lignée des années précédentes en faveur de l'Agenda GreneerMed de l'UpM, de la Feuille de route pour une économie bleue durable et d’une Déclaration ministérielle renouvelée sur l'eau, en cours d'élaboration.</w:t>
      </w:r>
      <w:bookmarkEnd w:id="6"/>
    </w:p>
    <w:p w14:paraId="129588BD" w14:textId="11786C26" w:rsidR="0036626C" w:rsidRPr="005A74C2" w:rsidRDefault="0036626C" w:rsidP="00216E76">
      <w:pPr>
        <w:pStyle w:val="NormalWeb"/>
        <w:spacing w:before="0" w:beforeAutospacing="0" w:after="120" w:afterAutospacing="0" w:line="240" w:lineRule="atLeast"/>
        <w:contextualSpacing/>
        <w:jc w:val="both"/>
        <w:rPr>
          <w:rFonts w:asciiTheme="majorHAnsi" w:hAnsiTheme="majorHAnsi" w:cstheme="majorHAnsi"/>
          <w:bCs/>
          <w:sz w:val="21"/>
          <w:szCs w:val="21"/>
        </w:rPr>
      </w:pPr>
      <w:r w:rsidRPr="005A74C2">
        <w:rPr>
          <w:rFonts w:asciiTheme="majorHAnsi" w:hAnsiTheme="majorHAnsi" w:cstheme="majorHAnsi"/>
          <w:b/>
          <w:sz w:val="21"/>
          <w:szCs w:val="21"/>
        </w:rPr>
        <w:lastRenderedPageBreak/>
        <w:t>M. Stavros Damianidis, directeur général de LDK Consultants et directeur du projet WES-BCA</w:t>
      </w:r>
      <w:r w:rsidRPr="005A74C2">
        <w:rPr>
          <w:rFonts w:asciiTheme="majorHAnsi" w:hAnsiTheme="majorHAnsi" w:cstheme="majorHAnsi"/>
          <w:bCs/>
          <w:sz w:val="21"/>
          <w:szCs w:val="21"/>
        </w:rPr>
        <w:t>, a précisé que l’équipe WES-BCA mènera ses activités en se basant sur la précieuse expérience acquise au cours du projet WES précédant et en étroite collaboration avec les points focaux WES-BCA des ministères de l’Eau et de l’Environnement des pays partenaires et les délégations de l’Union Européenne dans les pays partenaires.</w:t>
      </w:r>
    </w:p>
    <w:p w14:paraId="1F2A543B" w14:textId="7AA55466" w:rsidR="004A0449" w:rsidRPr="005A74C2" w:rsidRDefault="004208C2" w:rsidP="00007E65">
      <w:pPr>
        <w:pStyle w:val="NormalWeb"/>
        <w:spacing w:before="0" w:beforeAutospacing="0" w:after="120" w:afterAutospacing="0" w:line="240" w:lineRule="atLeast"/>
        <w:contextualSpacing/>
        <w:jc w:val="both"/>
        <w:rPr>
          <w:rFonts w:asciiTheme="majorHAnsi" w:hAnsiTheme="majorHAnsi" w:cstheme="majorHAnsi"/>
          <w:b/>
          <w:bCs/>
          <w:sz w:val="21"/>
          <w:szCs w:val="21"/>
        </w:rPr>
      </w:pPr>
      <w:r w:rsidRPr="005A74C2">
        <w:rPr>
          <w:rFonts w:asciiTheme="majorHAnsi" w:hAnsiTheme="majorHAnsi" w:cstheme="majorHAnsi"/>
          <w:b/>
          <w:sz w:val="21"/>
          <w:szCs w:val="21"/>
        </w:rPr>
        <w:t>Profe</w:t>
      </w:r>
      <w:r w:rsidR="004A0449" w:rsidRPr="005A74C2">
        <w:rPr>
          <w:rFonts w:asciiTheme="majorHAnsi" w:hAnsiTheme="majorHAnsi" w:cstheme="majorHAnsi"/>
          <w:b/>
          <w:sz w:val="21"/>
          <w:szCs w:val="21"/>
        </w:rPr>
        <w:t>sseur Michael Scoullos, Chef d’équipe</w:t>
      </w:r>
      <w:r w:rsidRPr="005A74C2">
        <w:rPr>
          <w:rFonts w:asciiTheme="majorHAnsi" w:hAnsiTheme="majorHAnsi" w:cstheme="majorHAnsi"/>
          <w:b/>
          <w:sz w:val="21"/>
          <w:szCs w:val="21"/>
        </w:rPr>
        <w:t xml:space="preserve"> du projet WES-BCA</w:t>
      </w:r>
      <w:r w:rsidRPr="005A74C2">
        <w:rPr>
          <w:rFonts w:asciiTheme="majorHAnsi" w:hAnsiTheme="majorHAnsi" w:cstheme="majorHAnsi"/>
          <w:bCs/>
          <w:sz w:val="21"/>
          <w:szCs w:val="21"/>
        </w:rPr>
        <w:t>, qui a également dirigé les phases précédentes, a rappelé aux anciens et nouveaux partenaires la vision, les principes, les priorités</w:t>
      </w:r>
      <w:r w:rsidR="004A0449" w:rsidRPr="005A74C2">
        <w:rPr>
          <w:rFonts w:asciiTheme="majorHAnsi" w:hAnsiTheme="majorHAnsi" w:cstheme="majorHAnsi"/>
          <w:bCs/>
          <w:sz w:val="21"/>
          <w:szCs w:val="21"/>
        </w:rPr>
        <w:t xml:space="preserve">, </w:t>
      </w:r>
      <w:r w:rsidRPr="005A74C2">
        <w:rPr>
          <w:rFonts w:asciiTheme="majorHAnsi" w:hAnsiTheme="majorHAnsi" w:cstheme="majorHAnsi"/>
          <w:bCs/>
          <w:sz w:val="21"/>
          <w:szCs w:val="21"/>
        </w:rPr>
        <w:t>les approches globales ainsi que la stratégie connexe du projet/ programme et a mis l’accent sur les activités liées à l'approche pionnière Nexus Eau-Énergie-Alimentation-Écosystèmes (WEFE). Les nouvelles politiques et les meilleures pratiques à suivre, les technologies avancées à adopter et à appliquer, ainsi que les initiatives et les synergies à promouvoir favoriseront certainement les efforts de développement des pays partenaires tout en protégeant l’environnement et en soutenant le développement durable dans la région.</w:t>
      </w:r>
      <w:r w:rsidR="00ED366A" w:rsidRPr="005A74C2">
        <w:rPr>
          <w:rFonts w:asciiTheme="majorHAnsi" w:hAnsiTheme="majorHAnsi" w:cstheme="majorHAnsi"/>
          <w:bCs/>
          <w:sz w:val="21"/>
          <w:szCs w:val="21"/>
        </w:rPr>
        <w:t xml:space="preserve"> </w:t>
      </w:r>
      <w:bookmarkStart w:id="7" w:name="_Hlk198285452"/>
    </w:p>
    <w:p w14:paraId="0DEF8EC6" w14:textId="666535B2" w:rsidR="00EC2498" w:rsidRPr="005A74C2" w:rsidRDefault="00ED366A" w:rsidP="00EC2498">
      <w:pPr>
        <w:pStyle w:val="NormalWeb"/>
        <w:spacing w:before="0" w:beforeAutospacing="0" w:after="120" w:afterAutospacing="0" w:line="240" w:lineRule="atLeast"/>
        <w:contextualSpacing/>
        <w:jc w:val="both"/>
        <w:rPr>
          <w:rFonts w:asciiTheme="majorHAnsi" w:hAnsiTheme="majorHAnsi" w:cstheme="majorHAnsi"/>
          <w:bCs/>
          <w:sz w:val="21"/>
          <w:szCs w:val="21"/>
        </w:rPr>
      </w:pPr>
      <w:r w:rsidRPr="005A74C2">
        <w:rPr>
          <w:rFonts w:asciiTheme="majorHAnsi" w:hAnsiTheme="majorHAnsi" w:cstheme="majorHAnsi"/>
          <w:b/>
          <w:bCs/>
          <w:sz w:val="21"/>
          <w:szCs w:val="21"/>
        </w:rPr>
        <w:t>M. Frédéric Fourtune, chargé de programmes, WES-BCA, Direction Générale du Moyen-Orient, de l'Afrique du Nord et du Golfe (DG MENA) - Commission Européenne</w:t>
      </w:r>
      <w:r w:rsidR="00922CE2" w:rsidRPr="005A74C2">
        <w:rPr>
          <w:rFonts w:asciiTheme="majorHAnsi" w:hAnsiTheme="majorHAnsi" w:cstheme="majorHAnsi"/>
          <w:bCs/>
          <w:sz w:val="21"/>
          <w:szCs w:val="21"/>
        </w:rPr>
        <w:t>, a ajouté</w:t>
      </w:r>
      <w:r w:rsidR="00FF5BD7" w:rsidRPr="005A74C2">
        <w:rPr>
          <w:rFonts w:asciiTheme="majorHAnsi" w:hAnsiTheme="majorHAnsi" w:cstheme="majorHAnsi"/>
          <w:bCs/>
          <w:sz w:val="21"/>
          <w:szCs w:val="21"/>
        </w:rPr>
        <w:t xml:space="preserve"> </w:t>
      </w:r>
      <w:r w:rsidRPr="005A74C2">
        <w:rPr>
          <w:rFonts w:asciiTheme="majorHAnsi" w:hAnsiTheme="majorHAnsi" w:cstheme="majorHAnsi"/>
          <w:bCs/>
          <w:sz w:val="21"/>
          <w:szCs w:val="21"/>
        </w:rPr>
        <w:t xml:space="preserve">: </w:t>
      </w:r>
      <w:r w:rsidR="00EB1560" w:rsidRPr="005A74C2">
        <w:rPr>
          <w:rFonts w:asciiTheme="majorHAnsi" w:hAnsiTheme="majorHAnsi" w:cstheme="majorHAnsi"/>
          <w:bCs/>
          <w:sz w:val="21"/>
          <w:szCs w:val="21"/>
        </w:rPr>
        <w:t>« </w:t>
      </w:r>
      <w:r w:rsidRPr="005A74C2">
        <w:rPr>
          <w:rFonts w:asciiTheme="majorHAnsi" w:hAnsiTheme="majorHAnsi" w:cstheme="majorHAnsi"/>
          <w:bCs/>
          <w:sz w:val="21"/>
          <w:szCs w:val="21"/>
        </w:rPr>
        <w:t xml:space="preserve">Grâce à la collaboration fructueuse entre les participants </w:t>
      </w:r>
      <w:r w:rsidR="00EC2498" w:rsidRPr="005A74C2">
        <w:rPr>
          <w:rFonts w:asciiTheme="majorHAnsi" w:hAnsiTheme="majorHAnsi" w:cstheme="majorHAnsi"/>
          <w:bCs/>
          <w:sz w:val="21"/>
          <w:szCs w:val="21"/>
        </w:rPr>
        <w:t>de</w:t>
      </w:r>
      <w:r w:rsidRPr="005A74C2">
        <w:rPr>
          <w:rFonts w:asciiTheme="majorHAnsi" w:hAnsiTheme="majorHAnsi" w:cstheme="majorHAnsi"/>
          <w:bCs/>
          <w:sz w:val="21"/>
          <w:szCs w:val="21"/>
        </w:rPr>
        <w:t xml:space="preserve"> la réunion du comité de pilotage, le plan de travail approuvé et les 27 activités et campagnes de sensibilisation du projet WES-BCA s’avéreront bénéfiques pour les pays partenaires et ouvriront la voie à une Méditerranée plus verte et plus durable. Les réalisations et l’impact du projet WES précèdent vont certainement servir </w:t>
      </w:r>
      <w:r w:rsidR="00EC2498" w:rsidRPr="005A74C2">
        <w:rPr>
          <w:rFonts w:asciiTheme="majorHAnsi" w:hAnsiTheme="majorHAnsi" w:cstheme="majorHAnsi"/>
          <w:bCs/>
          <w:sz w:val="21"/>
          <w:szCs w:val="21"/>
        </w:rPr>
        <w:t>de</w:t>
      </w:r>
      <w:r w:rsidRPr="005A74C2">
        <w:rPr>
          <w:rFonts w:asciiTheme="majorHAnsi" w:hAnsiTheme="majorHAnsi" w:cstheme="majorHAnsi"/>
          <w:bCs/>
          <w:sz w:val="21"/>
          <w:szCs w:val="21"/>
        </w:rPr>
        <w:t xml:space="preserve"> lignes directrices pour la réussite du projet WES-BCA</w:t>
      </w:r>
      <w:r w:rsidR="00EB1560" w:rsidRPr="005A74C2">
        <w:rPr>
          <w:rFonts w:asciiTheme="majorHAnsi" w:hAnsiTheme="majorHAnsi" w:cstheme="majorHAnsi"/>
          <w:bCs/>
          <w:sz w:val="21"/>
          <w:szCs w:val="21"/>
        </w:rPr>
        <w:t> »</w:t>
      </w:r>
      <w:r w:rsidRPr="005A74C2">
        <w:rPr>
          <w:rFonts w:asciiTheme="majorHAnsi" w:hAnsiTheme="majorHAnsi" w:cstheme="majorHAnsi"/>
          <w:bCs/>
          <w:sz w:val="21"/>
          <w:szCs w:val="21"/>
        </w:rPr>
        <w:t xml:space="preserve">. </w:t>
      </w:r>
      <w:bookmarkEnd w:id="7"/>
    </w:p>
    <w:p w14:paraId="34455ADE" w14:textId="0099060F" w:rsidR="003B3746" w:rsidRPr="005A74C2" w:rsidRDefault="003B3746" w:rsidP="00EC2498">
      <w:pPr>
        <w:pStyle w:val="NormalWeb"/>
        <w:spacing w:before="0" w:beforeAutospacing="0" w:after="120" w:afterAutospacing="0" w:line="240" w:lineRule="atLeast"/>
        <w:contextualSpacing/>
        <w:jc w:val="both"/>
        <w:rPr>
          <w:rFonts w:asciiTheme="majorHAnsi" w:hAnsiTheme="majorHAnsi" w:cstheme="majorHAnsi"/>
          <w:b/>
          <w:bCs/>
          <w:sz w:val="21"/>
          <w:szCs w:val="21"/>
        </w:rPr>
      </w:pPr>
      <w:r w:rsidRPr="005A74C2">
        <w:rPr>
          <w:rFonts w:asciiTheme="majorHAnsi" w:hAnsiTheme="majorHAnsi" w:cstheme="majorHAnsi"/>
          <w:b/>
          <w:bCs/>
          <w:sz w:val="21"/>
          <w:szCs w:val="21"/>
        </w:rPr>
        <w:t xml:space="preserve">Mme Cristina CASELLA, </w:t>
      </w:r>
      <w:r w:rsidR="002129E3" w:rsidRPr="005A74C2">
        <w:rPr>
          <w:rFonts w:asciiTheme="majorHAnsi" w:hAnsiTheme="majorHAnsi" w:cstheme="majorHAnsi"/>
          <w:b/>
          <w:bCs/>
          <w:sz w:val="21"/>
          <w:szCs w:val="21"/>
        </w:rPr>
        <w:t>chargée</w:t>
      </w:r>
      <w:r w:rsidRPr="005A74C2">
        <w:rPr>
          <w:rFonts w:asciiTheme="majorHAnsi" w:hAnsiTheme="majorHAnsi" w:cstheme="majorHAnsi"/>
          <w:b/>
          <w:bCs/>
          <w:sz w:val="21"/>
          <w:szCs w:val="21"/>
        </w:rPr>
        <w:t xml:space="preserve"> du programme pour l'action climatique, Direction Générale MENA - Commission européenne,</w:t>
      </w:r>
      <w:r w:rsidRPr="005A74C2">
        <w:rPr>
          <w:rFonts w:asciiTheme="majorHAnsi" w:hAnsiTheme="majorHAnsi" w:cstheme="majorHAnsi"/>
          <w:bCs/>
          <w:sz w:val="21"/>
          <w:szCs w:val="21"/>
        </w:rPr>
        <w:t xml:space="preserve"> a souligné la nécessité d’une large diffusion d’informations concernant les activités du projet WES-BCA auprès des parties prenantes et du grand public afin d’assurer que les résultats et les politiques et solutions proposées clés soient adoptées et mises en œuvre par les pays partenaires.</w:t>
      </w:r>
    </w:p>
    <w:bookmarkEnd w:id="5"/>
    <w:p w14:paraId="7A6D7217" w14:textId="77777777" w:rsidR="00ED23CD" w:rsidRPr="005A74C2" w:rsidRDefault="00ED23CD" w:rsidP="00980676">
      <w:pPr>
        <w:pStyle w:val="Highlight1"/>
        <w:spacing w:after="120" w:line="240" w:lineRule="atLeast"/>
        <w:contextualSpacing/>
        <w:rPr>
          <w:rFonts w:asciiTheme="majorHAnsi" w:hAnsiTheme="majorHAnsi" w:cstheme="majorHAnsi"/>
          <w:b w:val="0"/>
          <w:bCs/>
          <w:color w:val="auto"/>
        </w:rPr>
      </w:pPr>
    </w:p>
    <w:p w14:paraId="66304C3F" w14:textId="77777777" w:rsidR="00AE2CBF" w:rsidRPr="00EB1560" w:rsidRDefault="00AE2CBF" w:rsidP="00AE2CBF">
      <w:pPr>
        <w:pStyle w:val="Highlight1"/>
        <w:spacing w:after="120" w:line="240" w:lineRule="atLeast"/>
        <w:contextualSpacing/>
        <w:rPr>
          <w:rFonts w:asciiTheme="majorHAnsi" w:hAnsiTheme="majorHAnsi" w:cstheme="majorHAnsi"/>
          <w:color w:val="0070C0"/>
          <w:sz w:val="20"/>
          <w:szCs w:val="20"/>
        </w:rPr>
      </w:pPr>
      <w:bookmarkStart w:id="8" w:name="_Hlk43889180"/>
      <w:r w:rsidRPr="00EB1560">
        <w:rPr>
          <w:rFonts w:asciiTheme="majorHAnsi" w:hAnsiTheme="majorHAnsi"/>
          <w:color w:val="0070C0"/>
          <w:sz w:val="20"/>
        </w:rPr>
        <w:t>Le projet WES-BCA en un coup d’œil :</w:t>
      </w:r>
    </w:p>
    <w:p w14:paraId="65E9F137" w14:textId="77777777" w:rsidR="00AE2CBF" w:rsidRPr="00EB1560" w:rsidRDefault="00AE2CBF" w:rsidP="00AE2CBF">
      <w:pPr>
        <w:pStyle w:val="Highlight1"/>
        <w:spacing w:after="120" w:line="240" w:lineRule="atLeast"/>
        <w:contextualSpacing/>
        <w:rPr>
          <w:rFonts w:asciiTheme="majorHAnsi" w:hAnsiTheme="majorHAnsi" w:cstheme="majorHAnsi"/>
          <w:b w:val="0"/>
          <w:bCs/>
          <w:color w:val="auto"/>
          <w:sz w:val="18"/>
          <w:szCs w:val="18"/>
        </w:rPr>
      </w:pPr>
      <w:r w:rsidRPr="00EB1560">
        <w:rPr>
          <w:rFonts w:asciiTheme="majorHAnsi" w:hAnsiTheme="majorHAnsi"/>
          <w:b w:val="0"/>
          <w:color w:val="auto"/>
          <w:sz w:val="18"/>
        </w:rPr>
        <w:t>Le projet « Water and Environment Support-Biodiversity and Climate Action (WES-BCA) dans la région Sud de voisinage »  est la continuation du projet WES et vise à améliorer la protection de l'environnement, la restauration de la biodiversité et la gestion des ressources en eau rares, tout en améliorant la résilience au changement climatique dans la région méditerranéenne, en renforçant la formulation et l'application des politiques pertinentes des pays partenaires et des deux cadres politiques régionaux, à savoir l'Union pour la Méditerranée (UpM) et la Convention de Barcelone.</w:t>
      </w:r>
    </w:p>
    <w:p w14:paraId="5AD7AD23" w14:textId="77777777" w:rsidR="00AE2CBF" w:rsidRPr="00EB1560" w:rsidRDefault="00AE2CBF" w:rsidP="00AE2CBF">
      <w:pPr>
        <w:pStyle w:val="Highlight1"/>
        <w:spacing w:after="120" w:line="240" w:lineRule="atLeast"/>
        <w:contextualSpacing/>
        <w:rPr>
          <w:rFonts w:asciiTheme="majorHAnsi" w:hAnsiTheme="majorHAnsi" w:cstheme="majorHAnsi"/>
          <w:b w:val="0"/>
          <w:bCs/>
          <w:color w:val="auto"/>
          <w:sz w:val="18"/>
          <w:szCs w:val="18"/>
        </w:rPr>
      </w:pPr>
      <w:r w:rsidRPr="00EB1560">
        <w:rPr>
          <w:rFonts w:asciiTheme="majorHAnsi" w:hAnsiTheme="majorHAnsi"/>
          <w:color w:val="auto"/>
          <w:sz w:val="18"/>
        </w:rPr>
        <w:t>Pays Partenaires</w:t>
      </w:r>
      <w:r w:rsidRPr="00EB1560">
        <w:rPr>
          <w:rFonts w:asciiTheme="majorHAnsi" w:hAnsiTheme="majorHAnsi"/>
          <w:b w:val="0"/>
          <w:color w:val="auto"/>
          <w:sz w:val="18"/>
        </w:rPr>
        <w:t xml:space="preserve"> : pays d'Afrique du Nord et du Moyen-Orient</w:t>
      </w:r>
    </w:p>
    <w:p w14:paraId="1F19EF9C" w14:textId="77777777" w:rsidR="00AE2CBF" w:rsidRPr="00EB1560" w:rsidRDefault="00AE2CBF" w:rsidP="00AE2CBF">
      <w:pPr>
        <w:pStyle w:val="Highlight1"/>
        <w:spacing w:after="120" w:line="240" w:lineRule="atLeast"/>
        <w:contextualSpacing/>
        <w:rPr>
          <w:rFonts w:asciiTheme="majorHAnsi" w:hAnsiTheme="majorHAnsi" w:cstheme="majorHAnsi"/>
          <w:b w:val="0"/>
          <w:bCs/>
          <w:color w:val="auto"/>
          <w:sz w:val="18"/>
          <w:szCs w:val="18"/>
        </w:rPr>
      </w:pPr>
      <w:r w:rsidRPr="00EB1560">
        <w:rPr>
          <w:rFonts w:asciiTheme="majorHAnsi" w:hAnsiTheme="majorHAnsi"/>
          <w:color w:val="auto"/>
          <w:sz w:val="18"/>
        </w:rPr>
        <w:t>Durée</w:t>
      </w:r>
      <w:r w:rsidRPr="00EB1560">
        <w:rPr>
          <w:rFonts w:asciiTheme="majorHAnsi" w:hAnsiTheme="majorHAnsi"/>
          <w:b w:val="0"/>
          <w:color w:val="auto"/>
          <w:sz w:val="18"/>
        </w:rPr>
        <w:t xml:space="preserve"> : novembre 2024-novembre 2027</w:t>
      </w:r>
    </w:p>
    <w:p w14:paraId="4109E99F" w14:textId="77777777" w:rsidR="00AE2CBF" w:rsidRPr="00EB1560" w:rsidRDefault="00AE2CBF" w:rsidP="00AE2CBF">
      <w:pPr>
        <w:pStyle w:val="Highlight1"/>
        <w:spacing w:after="120" w:line="240" w:lineRule="atLeast"/>
        <w:contextualSpacing/>
        <w:rPr>
          <w:rFonts w:asciiTheme="majorHAnsi" w:hAnsiTheme="majorHAnsi" w:cstheme="majorHAnsi"/>
          <w:b w:val="0"/>
          <w:bCs/>
          <w:color w:val="auto"/>
          <w:sz w:val="18"/>
          <w:szCs w:val="18"/>
        </w:rPr>
      </w:pPr>
      <w:r w:rsidRPr="00EB1560">
        <w:rPr>
          <w:rFonts w:asciiTheme="majorHAnsi" w:hAnsiTheme="majorHAnsi"/>
          <w:color w:val="auto"/>
          <w:sz w:val="18"/>
        </w:rPr>
        <w:t>Budget</w:t>
      </w:r>
      <w:r w:rsidRPr="00EB1560">
        <w:rPr>
          <w:rFonts w:asciiTheme="majorHAnsi" w:hAnsiTheme="majorHAnsi"/>
          <w:b w:val="0"/>
          <w:color w:val="auto"/>
          <w:sz w:val="18"/>
        </w:rPr>
        <w:t xml:space="preserve"> : 7 000 000 euros</w:t>
      </w:r>
    </w:p>
    <w:p w14:paraId="34544A36" w14:textId="77777777" w:rsidR="00AE2CBF" w:rsidRPr="00EB1560" w:rsidRDefault="00AE2CBF" w:rsidP="00AE2CBF">
      <w:pPr>
        <w:pStyle w:val="Highlight1"/>
        <w:spacing w:after="120" w:line="240" w:lineRule="atLeast"/>
        <w:contextualSpacing/>
        <w:rPr>
          <w:rFonts w:asciiTheme="majorHAnsi" w:hAnsiTheme="majorHAnsi" w:cstheme="majorHAnsi"/>
          <w:b w:val="0"/>
          <w:bCs/>
          <w:color w:val="auto"/>
          <w:sz w:val="18"/>
          <w:szCs w:val="18"/>
        </w:rPr>
      </w:pPr>
      <w:r w:rsidRPr="00EB1560">
        <w:rPr>
          <w:rFonts w:asciiTheme="majorHAnsi" w:hAnsiTheme="majorHAnsi"/>
          <w:color w:val="auto"/>
          <w:sz w:val="18"/>
        </w:rPr>
        <w:t>Consortium</w:t>
      </w:r>
      <w:r w:rsidRPr="00EB1560">
        <w:rPr>
          <w:rFonts w:asciiTheme="majorHAnsi" w:hAnsiTheme="majorHAnsi"/>
          <w:b w:val="0"/>
          <w:color w:val="auto"/>
          <w:sz w:val="18"/>
        </w:rPr>
        <w:t xml:space="preserve"> de mise en œuvre composé d'entités européennes et régionales de premier plan dotées de compétences et d'expériences complémentaires, à savoir :</w:t>
      </w:r>
    </w:p>
    <w:p w14:paraId="20AFBE1B" w14:textId="77777777" w:rsidR="00AE2CBF" w:rsidRPr="00ED652E" w:rsidRDefault="00AE2CBF" w:rsidP="00AE2CBF">
      <w:pPr>
        <w:pStyle w:val="Highlight1"/>
        <w:spacing w:after="120" w:line="240" w:lineRule="atLeast"/>
        <w:contextualSpacing/>
        <w:rPr>
          <w:rFonts w:asciiTheme="majorHAnsi" w:hAnsiTheme="majorHAnsi" w:cstheme="majorHAnsi"/>
          <w:b w:val="0"/>
          <w:bCs/>
          <w:color w:val="auto"/>
          <w:sz w:val="18"/>
          <w:szCs w:val="18"/>
          <w:lang w:val="en-US"/>
        </w:rPr>
      </w:pPr>
      <w:r w:rsidRPr="00ED652E">
        <w:rPr>
          <w:rFonts w:asciiTheme="majorHAnsi" w:hAnsiTheme="majorHAnsi"/>
          <w:b w:val="0"/>
          <w:color w:val="auto"/>
          <w:sz w:val="18"/>
          <w:lang w:val="en-US"/>
        </w:rPr>
        <w:t>LDK CONSULTANTS S.A. (chef de file), Arab Network for Environment and Development (RAED), Association of Cities and Regions for Sustainable Resource Management (ACR+), Mediterranean Agronomic Institute of Bari (CIHEAM Bari), Mediterranean Information Office for Environment, Culture and Sustainable Development (MIO-ECSDE), MedWaves, the Regional Activity Centre of UNEP/MAP for Sustainable Consumption and Production.</w:t>
      </w:r>
    </w:p>
    <w:p w14:paraId="111CC609" w14:textId="77777777" w:rsidR="00AE2CBF" w:rsidRPr="00EB1560" w:rsidRDefault="00AE2CBF" w:rsidP="00AE2CBF">
      <w:pPr>
        <w:pStyle w:val="Highlight1"/>
        <w:spacing w:after="120" w:line="240" w:lineRule="atLeast"/>
        <w:contextualSpacing/>
        <w:rPr>
          <w:rFonts w:asciiTheme="majorHAnsi" w:hAnsiTheme="majorHAnsi"/>
          <w:b w:val="0"/>
          <w:color w:val="auto"/>
          <w:sz w:val="18"/>
        </w:rPr>
      </w:pPr>
      <w:r w:rsidRPr="00EB1560">
        <w:rPr>
          <w:rFonts w:asciiTheme="majorHAnsi" w:hAnsiTheme="majorHAnsi"/>
          <w:color w:val="auto"/>
          <w:sz w:val="18"/>
        </w:rPr>
        <w:t>Autorité contractante</w:t>
      </w:r>
      <w:r w:rsidRPr="00EB1560">
        <w:rPr>
          <w:rFonts w:asciiTheme="majorHAnsi" w:hAnsiTheme="majorHAnsi"/>
          <w:b w:val="0"/>
          <w:color w:val="auto"/>
          <w:sz w:val="18"/>
        </w:rPr>
        <w:t xml:space="preserve"> : Commission européenne, Direction générale du voisinage et des négociations d'élargissement (DG NEAR)</w:t>
      </w:r>
    </w:p>
    <w:p w14:paraId="615524DB" w14:textId="77777777" w:rsidR="00A92315" w:rsidRPr="00EB1560" w:rsidRDefault="00A92315" w:rsidP="00AE2CBF">
      <w:pPr>
        <w:pStyle w:val="Highlight1"/>
        <w:spacing w:after="120" w:line="240" w:lineRule="atLeast"/>
        <w:contextualSpacing/>
        <w:rPr>
          <w:rFonts w:asciiTheme="majorHAnsi" w:hAnsiTheme="majorHAnsi"/>
          <w:b w:val="0"/>
          <w:color w:val="auto"/>
          <w:sz w:val="18"/>
        </w:rPr>
      </w:pPr>
    </w:p>
    <w:p w14:paraId="212564B8" w14:textId="77777777" w:rsidR="00A92315" w:rsidRPr="00EB1560" w:rsidRDefault="00A92315" w:rsidP="00A92315">
      <w:pPr>
        <w:pStyle w:val="Highlight1"/>
        <w:spacing w:after="120" w:line="240" w:lineRule="atLeast"/>
        <w:contextualSpacing/>
        <w:rPr>
          <w:rFonts w:asciiTheme="majorHAnsi" w:hAnsiTheme="majorHAnsi" w:cstheme="majorHAnsi"/>
          <w:sz w:val="20"/>
          <w:szCs w:val="20"/>
        </w:rPr>
      </w:pPr>
      <w:r w:rsidRPr="00EB1560">
        <w:rPr>
          <w:rFonts w:asciiTheme="majorHAnsi" w:hAnsiTheme="majorHAnsi"/>
          <w:sz w:val="20"/>
          <w:szCs w:val="20"/>
        </w:rPr>
        <w:t>Pour plus d’informations, veuillez contacter :</w:t>
      </w:r>
    </w:p>
    <w:p w14:paraId="3295B5E5" w14:textId="77777777" w:rsidR="00A92315" w:rsidRPr="00EB1560" w:rsidRDefault="00A92315" w:rsidP="00A92315">
      <w:pPr>
        <w:pStyle w:val="Highlight1"/>
        <w:spacing w:after="120" w:line="240" w:lineRule="atLeast"/>
        <w:contextualSpacing/>
        <w:rPr>
          <w:rFonts w:asciiTheme="majorHAnsi" w:hAnsiTheme="majorHAnsi" w:cstheme="majorHAnsi"/>
          <w:sz w:val="20"/>
          <w:szCs w:val="20"/>
        </w:rPr>
      </w:pPr>
      <w:r w:rsidRPr="00EB1560">
        <w:rPr>
          <w:rFonts w:asciiTheme="majorHAnsi" w:hAnsiTheme="majorHAnsi"/>
          <w:color w:val="auto"/>
          <w:sz w:val="20"/>
          <w:szCs w:val="20"/>
        </w:rPr>
        <w:t>Lisa Papadogeorgaki, Experte principale WES-BCA Communication</w:t>
      </w:r>
      <w:r w:rsidRPr="00EB1560">
        <w:rPr>
          <w:rFonts w:asciiTheme="majorHAnsi" w:hAnsiTheme="majorHAnsi"/>
          <w:b w:val="0"/>
          <w:color w:val="auto"/>
          <w:sz w:val="20"/>
          <w:szCs w:val="20"/>
        </w:rPr>
        <w:t xml:space="preserve"> </w:t>
      </w:r>
      <w:hyperlink r:id="rId7" w:history="1">
        <w:r w:rsidRPr="00EB1560">
          <w:rPr>
            <w:rStyle w:val="Hyperlink"/>
            <w:rFonts w:asciiTheme="majorHAnsi" w:hAnsiTheme="majorHAnsi"/>
            <w:sz w:val="20"/>
            <w:szCs w:val="20"/>
          </w:rPr>
          <w:t>lpa@ldk.gr</w:t>
        </w:r>
      </w:hyperlink>
    </w:p>
    <w:p w14:paraId="346FDDDF" w14:textId="77777777" w:rsidR="00A92315" w:rsidRPr="00EB1560" w:rsidRDefault="00A92315" w:rsidP="00A92315">
      <w:pPr>
        <w:pStyle w:val="Highlight1"/>
        <w:spacing w:after="120" w:line="240" w:lineRule="atLeast"/>
        <w:contextualSpacing/>
        <w:rPr>
          <w:rFonts w:asciiTheme="majorHAnsi" w:hAnsiTheme="majorHAnsi"/>
          <w:b w:val="0"/>
          <w:color w:val="auto"/>
          <w:sz w:val="18"/>
          <w:szCs w:val="18"/>
        </w:rPr>
      </w:pPr>
      <w:r w:rsidRPr="00EB1560">
        <w:rPr>
          <w:rFonts w:asciiTheme="majorHAnsi" w:hAnsiTheme="majorHAnsi"/>
          <w:b w:val="0"/>
          <w:color w:val="auto"/>
          <w:sz w:val="18"/>
          <w:szCs w:val="18"/>
        </w:rPr>
        <w:t xml:space="preserve"> </w:t>
      </w:r>
    </w:p>
    <w:p w14:paraId="429F7905" w14:textId="77777777" w:rsidR="00A92315" w:rsidRPr="00EB1560" w:rsidRDefault="00A92315" w:rsidP="00A92315">
      <w:pPr>
        <w:pStyle w:val="Highlight1"/>
        <w:spacing w:after="120" w:line="240" w:lineRule="atLeast"/>
        <w:contextualSpacing/>
        <w:rPr>
          <w:rFonts w:asciiTheme="majorHAnsi" w:hAnsiTheme="majorHAnsi" w:cstheme="majorHAnsi"/>
          <w:sz w:val="18"/>
          <w:szCs w:val="18"/>
          <w:lang w:eastAsia="en-GB"/>
        </w:rPr>
      </w:pPr>
      <w:r w:rsidRPr="00EB1560">
        <w:rPr>
          <w:rFonts w:asciiTheme="majorHAnsi" w:hAnsiTheme="majorHAnsi" w:cstheme="majorHAnsi"/>
          <w:sz w:val="18"/>
          <w:szCs w:val="18"/>
        </w:rPr>
        <w:t>En attendant, restez informés en cliquant sur les liens suivants :</w:t>
      </w:r>
      <w:r w:rsidRPr="00EB1560">
        <w:rPr>
          <w:rFonts w:asciiTheme="majorHAnsi" w:hAnsiTheme="majorHAnsi" w:cstheme="majorHAnsi"/>
          <w:sz w:val="18"/>
          <w:szCs w:val="18"/>
          <w:lang w:eastAsia="en-GB"/>
        </w:rPr>
        <w:t xml:space="preserve"> </w:t>
      </w:r>
    </w:p>
    <w:p w14:paraId="7AF299D1" w14:textId="77777777" w:rsidR="00A92315" w:rsidRPr="004E2733" w:rsidRDefault="00A92315" w:rsidP="00A92315">
      <w:pPr>
        <w:pStyle w:val="Highlight1"/>
        <w:spacing w:after="120" w:line="240" w:lineRule="atLeast"/>
        <w:contextualSpacing/>
        <w:rPr>
          <w:rStyle w:val="Hyperlink"/>
          <w:rFonts w:asciiTheme="majorHAnsi" w:hAnsiTheme="majorHAnsi" w:cstheme="majorHAnsi"/>
          <w:b w:val="0"/>
          <w:bCs/>
          <w:color w:val="ED6708"/>
          <w:sz w:val="18"/>
          <w:szCs w:val="18"/>
          <w:lang w:val="en-US"/>
        </w:rPr>
      </w:pPr>
      <w:r w:rsidRPr="00EB1560">
        <w:rPr>
          <w:rFonts w:asciiTheme="majorHAnsi" w:hAnsiTheme="majorHAnsi" w:cstheme="majorHAnsi"/>
          <w:b w:val="0"/>
          <w:bCs/>
          <w:sz w:val="18"/>
          <w:szCs w:val="18"/>
          <w:u w:val="single"/>
        </w:rPr>
        <w:fldChar w:fldCharType="begin"/>
      </w:r>
      <w:r w:rsidRPr="004E2733">
        <w:rPr>
          <w:rFonts w:asciiTheme="majorHAnsi" w:hAnsiTheme="majorHAnsi" w:cstheme="majorHAnsi"/>
          <w:b w:val="0"/>
          <w:bCs/>
          <w:sz w:val="18"/>
          <w:szCs w:val="18"/>
          <w:u w:val="single"/>
          <w:lang w:val="en-US"/>
        </w:rPr>
        <w:instrText>HYPERLINK "https://www.wes-bca.eu/fr/"</w:instrText>
      </w:r>
      <w:r w:rsidRPr="00EB1560">
        <w:rPr>
          <w:rFonts w:asciiTheme="majorHAnsi" w:hAnsiTheme="majorHAnsi" w:cstheme="majorHAnsi"/>
          <w:b w:val="0"/>
          <w:bCs/>
          <w:sz w:val="18"/>
          <w:szCs w:val="18"/>
          <w:u w:val="single"/>
        </w:rPr>
      </w:r>
      <w:r w:rsidRPr="00EB1560">
        <w:rPr>
          <w:rFonts w:asciiTheme="majorHAnsi" w:hAnsiTheme="majorHAnsi" w:cstheme="majorHAnsi"/>
          <w:b w:val="0"/>
          <w:bCs/>
          <w:sz w:val="18"/>
          <w:szCs w:val="18"/>
          <w:u w:val="single"/>
        </w:rPr>
        <w:fldChar w:fldCharType="separate"/>
      </w:r>
      <w:r w:rsidRPr="004E2733">
        <w:rPr>
          <w:rStyle w:val="Hyperlink"/>
          <w:rFonts w:asciiTheme="majorHAnsi" w:hAnsiTheme="majorHAnsi" w:cstheme="majorHAnsi"/>
          <w:b w:val="0"/>
          <w:bCs/>
          <w:color w:val="ED6708"/>
          <w:sz w:val="18"/>
          <w:szCs w:val="18"/>
          <w:lang w:val="en-US"/>
        </w:rPr>
        <w:t>WES-BCA site web</w:t>
      </w:r>
    </w:p>
    <w:p w14:paraId="4803E16F" w14:textId="77777777" w:rsidR="00A92315" w:rsidRPr="004E2733" w:rsidRDefault="00A92315" w:rsidP="00A92315">
      <w:pPr>
        <w:pStyle w:val="Highlight1"/>
        <w:spacing w:after="120" w:line="240" w:lineRule="atLeast"/>
        <w:contextualSpacing/>
        <w:rPr>
          <w:rStyle w:val="Hyperlink"/>
          <w:rFonts w:asciiTheme="majorHAnsi" w:hAnsiTheme="majorHAnsi" w:cstheme="majorHAnsi"/>
          <w:b w:val="0"/>
          <w:bCs/>
          <w:color w:val="ED6708"/>
          <w:sz w:val="18"/>
          <w:szCs w:val="18"/>
          <w:shd w:val="clear" w:color="auto" w:fill="FFFFFF"/>
          <w:lang w:val="en-US"/>
        </w:rPr>
      </w:pPr>
      <w:r w:rsidRPr="00EB1560">
        <w:rPr>
          <w:rFonts w:asciiTheme="majorHAnsi" w:hAnsiTheme="majorHAnsi" w:cstheme="majorHAnsi"/>
          <w:b w:val="0"/>
          <w:bCs/>
          <w:sz w:val="18"/>
          <w:szCs w:val="18"/>
          <w:u w:val="single"/>
        </w:rPr>
        <w:fldChar w:fldCharType="end"/>
      </w:r>
      <w:hyperlink r:id="rId8" w:history="1">
        <w:r w:rsidRPr="004E2733">
          <w:rPr>
            <w:rStyle w:val="Hyperlink"/>
            <w:rFonts w:asciiTheme="majorHAnsi" w:hAnsiTheme="majorHAnsi" w:cstheme="majorHAnsi"/>
            <w:b w:val="0"/>
            <w:bCs/>
            <w:color w:val="ED6708"/>
            <w:sz w:val="18"/>
            <w:szCs w:val="18"/>
            <w:shd w:val="clear" w:color="auto" w:fill="FFFFFF"/>
            <w:lang w:val="en-US"/>
          </w:rPr>
          <w:t>WES-BCA Facebook page</w:t>
        </w:r>
      </w:hyperlink>
    </w:p>
    <w:p w14:paraId="57EC3890" w14:textId="77777777" w:rsidR="00A92315" w:rsidRPr="00ED652E" w:rsidRDefault="00A92315" w:rsidP="00A92315">
      <w:pPr>
        <w:pStyle w:val="Highlight1"/>
        <w:spacing w:after="120" w:line="240" w:lineRule="atLeast"/>
        <w:contextualSpacing/>
        <w:rPr>
          <w:rFonts w:asciiTheme="majorHAnsi" w:hAnsiTheme="majorHAnsi" w:cstheme="majorHAnsi"/>
          <w:b w:val="0"/>
          <w:bCs/>
          <w:sz w:val="18"/>
          <w:szCs w:val="18"/>
          <w:u w:val="single"/>
          <w:lang w:val="en-US"/>
        </w:rPr>
      </w:pPr>
      <w:hyperlink r:id="rId9" w:history="1">
        <w:r w:rsidRPr="00ED652E">
          <w:rPr>
            <w:rStyle w:val="Hyperlink"/>
            <w:rFonts w:asciiTheme="majorHAnsi" w:hAnsiTheme="majorHAnsi" w:cstheme="majorHAnsi"/>
            <w:b w:val="0"/>
            <w:bCs/>
            <w:color w:val="ED6708"/>
            <w:sz w:val="18"/>
            <w:szCs w:val="18"/>
            <w:lang w:val="en-US"/>
          </w:rPr>
          <w:t>WES-BCA LinkedIn page</w:t>
        </w:r>
      </w:hyperlink>
    </w:p>
    <w:p w14:paraId="1C42D2F7" w14:textId="77777777" w:rsidR="00A92315" w:rsidRPr="00ED652E" w:rsidRDefault="00A92315" w:rsidP="00A92315">
      <w:pPr>
        <w:pStyle w:val="Highlight1"/>
        <w:spacing w:after="120" w:line="240" w:lineRule="atLeast"/>
        <w:contextualSpacing/>
        <w:rPr>
          <w:rFonts w:asciiTheme="majorHAnsi" w:hAnsiTheme="majorHAnsi" w:cstheme="majorHAnsi"/>
          <w:b w:val="0"/>
          <w:bCs/>
          <w:sz w:val="18"/>
          <w:szCs w:val="18"/>
          <w:u w:val="single"/>
          <w:lang w:val="en-US"/>
        </w:rPr>
      </w:pPr>
      <w:hyperlink r:id="rId10" w:history="1">
        <w:r w:rsidRPr="00ED652E">
          <w:rPr>
            <w:rFonts w:ascii="Calibri Light" w:eastAsia="Yu Mincho" w:hAnsi="Calibri Light" w:cs="Calibri Light"/>
            <w:b w:val="0"/>
            <w:bCs/>
            <w:sz w:val="18"/>
            <w:szCs w:val="18"/>
            <w:u w:val="single"/>
            <w:lang w:val="en-US"/>
          </w:rPr>
          <w:t>WES-BCA X page</w:t>
        </w:r>
      </w:hyperlink>
    </w:p>
    <w:p w14:paraId="4AA421BA" w14:textId="77777777" w:rsidR="00A92315" w:rsidRPr="00EB1560" w:rsidRDefault="00A92315" w:rsidP="00A92315">
      <w:pPr>
        <w:pStyle w:val="Highlight1"/>
        <w:spacing w:after="120" w:line="240" w:lineRule="atLeast"/>
        <w:contextualSpacing/>
        <w:rPr>
          <w:rFonts w:asciiTheme="majorHAnsi" w:hAnsiTheme="majorHAnsi" w:cstheme="majorHAnsi"/>
          <w:b w:val="0"/>
          <w:bCs/>
          <w:sz w:val="18"/>
          <w:szCs w:val="18"/>
          <w:u w:val="single"/>
        </w:rPr>
      </w:pPr>
      <w:hyperlink r:id="rId11" w:history="1">
        <w:r w:rsidRPr="00EB1560">
          <w:rPr>
            <w:rStyle w:val="Hyperlink"/>
            <w:rFonts w:asciiTheme="majorHAnsi" w:hAnsiTheme="majorHAnsi" w:cstheme="majorHAnsi"/>
            <w:b w:val="0"/>
            <w:bCs/>
            <w:color w:val="ED6708"/>
            <w:sz w:val="18"/>
            <w:szCs w:val="18"/>
          </w:rPr>
          <w:t>WES-BCA YouTube page</w:t>
        </w:r>
      </w:hyperlink>
    </w:p>
    <w:p w14:paraId="056C1648" w14:textId="77777777" w:rsidR="00A92315" w:rsidRPr="00EB1560" w:rsidRDefault="00A92315" w:rsidP="00AE2CBF">
      <w:pPr>
        <w:pStyle w:val="Highlight1"/>
        <w:spacing w:after="120" w:line="240" w:lineRule="atLeast"/>
        <w:contextualSpacing/>
        <w:rPr>
          <w:rFonts w:asciiTheme="majorHAnsi" w:hAnsiTheme="majorHAnsi" w:cstheme="majorHAnsi"/>
          <w:b w:val="0"/>
          <w:bCs/>
          <w:color w:val="auto"/>
          <w:sz w:val="18"/>
          <w:szCs w:val="18"/>
        </w:rPr>
      </w:pPr>
    </w:p>
    <w:bookmarkEnd w:id="8"/>
    <w:p w14:paraId="19CA614F" w14:textId="77777777" w:rsidR="009D5648" w:rsidRPr="00EB1560" w:rsidRDefault="009D5648" w:rsidP="009D5648">
      <w:pPr>
        <w:pStyle w:val="NormalWeb"/>
        <w:spacing w:before="0" w:beforeAutospacing="0" w:after="120" w:afterAutospacing="0" w:line="240" w:lineRule="atLeast"/>
        <w:contextualSpacing/>
        <w:jc w:val="both"/>
        <w:rPr>
          <w:rFonts w:asciiTheme="majorHAnsi" w:hAnsiTheme="majorHAnsi" w:cstheme="majorHAnsi"/>
          <w:b/>
          <w:bCs/>
          <w:color w:val="0070C0"/>
          <w:sz w:val="18"/>
          <w:szCs w:val="18"/>
        </w:rPr>
      </w:pPr>
      <w:r w:rsidRPr="00EB1560">
        <w:rPr>
          <w:rFonts w:asciiTheme="majorHAnsi" w:hAnsiTheme="majorHAnsi"/>
          <w:b/>
          <w:bCs/>
          <w:color w:val="0070C0"/>
          <w:sz w:val="18"/>
          <w:szCs w:val="18"/>
        </w:rPr>
        <w:t>Clause de non-responsabilité</w:t>
      </w:r>
    </w:p>
    <w:p w14:paraId="04273FAB" w14:textId="59E75BE2" w:rsidR="00AE39D2" w:rsidRPr="00EB1560" w:rsidRDefault="009D5648" w:rsidP="005A74C2">
      <w:pPr>
        <w:pStyle w:val="NormalWeb"/>
        <w:spacing w:before="0" w:beforeAutospacing="0" w:after="120" w:afterAutospacing="0" w:line="240" w:lineRule="atLeast"/>
        <w:contextualSpacing/>
        <w:jc w:val="both"/>
        <w:rPr>
          <w:rFonts w:asciiTheme="majorHAnsi" w:hAnsiTheme="majorHAnsi" w:cstheme="majorHAnsi"/>
          <w:sz w:val="18"/>
          <w:szCs w:val="18"/>
        </w:rPr>
      </w:pPr>
      <w:r w:rsidRPr="00EB1560">
        <w:rPr>
          <w:rFonts w:asciiTheme="majorHAnsi" w:hAnsiTheme="majorHAnsi"/>
          <w:sz w:val="18"/>
          <w:szCs w:val="18"/>
        </w:rPr>
        <w:t>Ce document a été réalisé avec le soutien financier de l'Union européenne. Son contenu relève de la seule responsabilité du projet WES et ne reflète pas nécessairement le point de vue de l'Union européenne.</w:t>
      </w:r>
    </w:p>
    <w:sectPr w:rsidR="00AE39D2" w:rsidRPr="00EB1560" w:rsidSect="006831AB">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170" w:footer="62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2FE81" w14:textId="77777777" w:rsidR="00185338" w:rsidRPr="00EB1560" w:rsidRDefault="00185338" w:rsidP="00C90F41">
      <w:pPr>
        <w:spacing w:after="0" w:line="240" w:lineRule="auto"/>
      </w:pPr>
      <w:r w:rsidRPr="00EB1560">
        <w:separator/>
      </w:r>
    </w:p>
  </w:endnote>
  <w:endnote w:type="continuationSeparator" w:id="0">
    <w:p w14:paraId="76E3347E" w14:textId="77777777" w:rsidR="00185338" w:rsidRPr="00EB1560" w:rsidRDefault="00185338" w:rsidP="00C90F41">
      <w:pPr>
        <w:spacing w:after="0" w:line="240" w:lineRule="auto"/>
      </w:pPr>
      <w:r w:rsidRPr="00EB15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 w:name="Times New Roman (Body CS)">
    <w:altName w:val="Times New Roman"/>
    <w:charset w:val="00"/>
    <w:family w:val="roman"/>
    <w:pitch w:val="default"/>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FD35" w14:textId="77777777" w:rsidR="00C70E47" w:rsidRPr="00EB1560" w:rsidRDefault="00C70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B2C1" w14:textId="5961844C" w:rsidR="00C90F41" w:rsidRPr="00EB1560" w:rsidRDefault="00C70E47" w:rsidP="006831AB">
    <w:pPr>
      <w:pStyle w:val="Footer"/>
    </w:pPr>
    <w:r w:rsidRPr="00EB1560">
      <w:rPr>
        <w:rFonts w:ascii="Times New Roman" w:eastAsia="Times New Roman" w:hAnsi="Times New Roman" w:cs="Times New Roman"/>
        <w:noProof/>
        <w:lang w:eastAsia="el-GR"/>
      </w:rPr>
      <w:drawing>
        <wp:anchor distT="0" distB="0" distL="114300" distR="114300" simplePos="0" relativeHeight="251673600" behindDoc="0" locked="0" layoutInCell="1" allowOverlap="1" wp14:anchorId="19E9C71B" wp14:editId="0D1D2B9C">
          <wp:simplePos x="0" y="0"/>
          <wp:positionH relativeFrom="margin">
            <wp:align>right</wp:align>
          </wp:positionH>
          <wp:positionV relativeFrom="paragraph">
            <wp:posOffset>6350</wp:posOffset>
          </wp:positionV>
          <wp:extent cx="2059200" cy="432000"/>
          <wp:effectExtent l="0" t="0" r="0" b="6350"/>
          <wp:wrapThrough wrapText="bothSides">
            <wp:wrapPolygon edited="0">
              <wp:start x="0" y="0"/>
              <wp:lineTo x="0" y="20965"/>
              <wp:lineTo x="6796" y="20965"/>
              <wp:lineTo x="10394" y="20965"/>
              <wp:lineTo x="20387" y="17153"/>
              <wp:lineTo x="20387" y="9529"/>
              <wp:lineTo x="14391" y="2859"/>
              <wp:lineTo x="6796" y="0"/>
              <wp:lineTo x="0" y="0"/>
            </wp:wrapPolygon>
          </wp:wrapThrough>
          <wp:docPr id="1402123726"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23726" name="Picture 1" descr="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2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ED" w:rsidRPr="00EB1560">
      <w:rPr>
        <w:noProof/>
        <w:lang w:eastAsia="el-GR"/>
      </w:rPr>
      <mc:AlternateContent>
        <mc:Choice Requires="wps">
          <w:drawing>
            <wp:anchor distT="0" distB="0" distL="114300" distR="114300" simplePos="0" relativeHeight="251671552" behindDoc="0" locked="0" layoutInCell="1" allowOverlap="1" wp14:anchorId="04CE3A14" wp14:editId="738BD3EF">
              <wp:simplePos x="0" y="0"/>
              <wp:positionH relativeFrom="column">
                <wp:posOffset>285750</wp:posOffset>
              </wp:positionH>
              <wp:positionV relativeFrom="paragraph">
                <wp:posOffset>109220</wp:posOffset>
              </wp:positionV>
              <wp:extent cx="1384300" cy="222250"/>
              <wp:effectExtent l="0" t="0" r="0" b="63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222250"/>
                      </a:xfrm>
                      <a:prstGeom prst="rect">
                        <a:avLst/>
                      </a:prstGeom>
                      <a:noFill/>
                      <a:ln w="6350">
                        <a:noFill/>
                      </a:ln>
                    </wps:spPr>
                    <wps:txbx>
                      <w:txbxContent>
                        <w:tbl>
                          <w:tblPr>
                            <w:tblW w:w="9542" w:type="dxa"/>
                            <w:tblBorders>
                              <w:insideH w:val="single" w:sz="4" w:space="0" w:color="auto"/>
                            </w:tblBorders>
                            <w:tblLook w:val="04A0" w:firstRow="1" w:lastRow="0" w:firstColumn="1" w:lastColumn="0" w:noHBand="0" w:noVBand="1"/>
                          </w:tblPr>
                          <w:tblGrid>
                            <w:gridCol w:w="1951"/>
                            <w:gridCol w:w="7591"/>
                          </w:tblGrid>
                          <w:tr w:rsidR="00E86CD8" w:rsidRPr="00EB1560" w14:paraId="5B36C6DE" w14:textId="77777777" w:rsidTr="0004128E">
                            <w:trPr>
                              <w:trHeight w:val="715"/>
                            </w:trPr>
                            <w:tc>
                              <w:tcPr>
                                <w:tcW w:w="1951" w:type="dxa"/>
                                <w:shd w:val="clear" w:color="auto" w:fill="auto"/>
                              </w:tcPr>
                              <w:p w14:paraId="6CF64ADB" w14:textId="406139C7" w:rsidR="00E86CD8" w:rsidRPr="00EB1560" w:rsidRDefault="00F523A2" w:rsidP="00F4577F">
                                <w:pPr>
                                  <w:spacing w:after="0" w:line="240" w:lineRule="auto"/>
                                  <w:jc w:val="center"/>
                                  <w:rPr>
                                    <w:rFonts w:ascii="Calibri" w:hAnsi="Calibri" w:cs="Calibri"/>
                                    <w:bCs/>
                                    <w:sz w:val="15"/>
                                    <w:szCs w:val="15"/>
                                  </w:rPr>
                                </w:pPr>
                                <w:r w:rsidRPr="00EB1560">
                                  <w:rPr>
                                    <w:rFonts w:ascii="Calibri" w:hAnsi="Calibri"/>
                                    <w:sz w:val="15"/>
                                  </w:rPr>
                                  <w:t>LDK CONSULTANTS S.A.</w:t>
                                </w:r>
                              </w:p>
                            </w:tc>
                            <w:tc>
                              <w:tcPr>
                                <w:tcW w:w="7591" w:type="dxa"/>
                                <w:shd w:val="clear" w:color="auto" w:fill="auto"/>
                              </w:tcPr>
                              <w:p w14:paraId="3FA294E4" w14:textId="77777777" w:rsidR="00E86CD8" w:rsidRPr="00EB1560" w:rsidRDefault="00E86CD8" w:rsidP="0004128E">
                                <w:pPr>
                                  <w:tabs>
                                    <w:tab w:val="center" w:pos="4153"/>
                                    <w:tab w:val="right" w:pos="8306"/>
                                  </w:tabs>
                                  <w:spacing w:before="120" w:after="0" w:line="120" w:lineRule="atLeast"/>
                                  <w:jc w:val="left"/>
                                  <w:rPr>
                                    <w:rFonts w:ascii="Calibri" w:hAnsi="Calibri" w:cs="Calibri"/>
                                    <w:b/>
                                    <w:bCs/>
                                    <w:color w:val="365F91"/>
                                  </w:rPr>
                                </w:pPr>
                              </w:p>
                            </w:tc>
                          </w:tr>
                        </w:tbl>
                        <w:p w14:paraId="5F781CE5" w14:textId="77777777" w:rsidR="00E86CD8" w:rsidRPr="00EB1560"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E3A14" id="_x0000_t202" coordsize="21600,21600" o:spt="202" path="m,l,21600r21600,l21600,xe">
              <v:stroke joinstyle="miter"/>
              <v:path gradientshapeok="t" o:connecttype="rect"/>
            </v:shapetype>
            <v:shape id="Text Box 43" o:spid="_x0000_s1026" type="#_x0000_t202" style="position:absolute;margin-left:22.5pt;margin-top:8.6pt;width:109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WIAIAAEUEAAAOAAAAZHJzL2Uyb0RvYy54bWysU8lu2zAQvRfoPxC81/KWNBUsB24CFwWM&#10;JIBT5ExTpCWE5LAkbcn9+g4peUnaU1Ef6KFmOMt7b2a3rVZkL5yvwRR0NBhSIgyHsjbbgv54Xn66&#10;ocQHZkqmwIiCHoSnt/OPH2aNzcUYKlClcASTGJ83tqBVCDbPMs8roZkfgBUGnRKcZgGvbpuVjjWY&#10;XatsPBxeZw240jrgwnv8et856Tzll1Lw8CilF4GogmJvIZ0unZt4ZvMZy7eO2armfRvsH7rQrDZY&#10;9JTqngVGdq7+I5WuuQMPMgw46AykrLlIM+A0o+G7adYVsyLNguB4e4LJ/7+0/GG/tk+OhPYrtEhg&#10;GsLbFfBXj9hkjfV5HxMx9bnH6DhoK52O/zgCwYeI7eGEp2gD4THb5GY6GaKLo2+Mv6sEeHZ+bZ0P&#10;3wRoEo2COuQrdcD2Kx9ifZYfQ2IxA8taqcSZMqQp6PUEU77x4Atl+sa7XmPXod20+CyaGygPOLCD&#10;Tgve8mWNxVfMhyfmkHzsFwUdHvGQCrAI9BYlFbhff/se45ET9FLSoJgK6n/umBOUqO8G2foymk6j&#10;+tJlevV5jBd36dlcesxO3wHqdYSrY3kyY3xQR1M60C+o+0Wsii5mONYuaDiad6GTOO4NF4tFCkK9&#10;WRZWZm35kecI7XP7wpzt8Q/I3AMcZcfydzR0sR3ci10AWSeOzqj2uKNWE3X9XsVluLynqPP2z38D&#10;AAD//wMAUEsDBBQABgAIAAAAIQClX7433wAAAAgBAAAPAAAAZHJzL2Rvd25yZXYueG1sTI/BTsMw&#10;EETvSPyDtUjcqIMhpUrjVFWkCgnBoaWX3px4m0TE6xC7beDrWU5w3JnR7Jt8NblenHEMnScN97ME&#10;BFLtbUeNhv375m4BIkRD1vSeUMMXBlgV11e5yay/0BbPu9gILqGQGQ1tjEMmZahbdCbM/IDE3tGP&#10;zkQ+x0ba0Vy43PVSJclcOtMRf2jNgGWL9cfu5DS8lJs3s62UW3z35fPrcT187g+p1rc303oJIuIU&#10;/8Lwi8/oUDBT5U9kg+g1PKY8JbL+pECwr+YPLFQaUqVAFrn8P6D4AQAA//8DAFBLAQItABQABgAI&#10;AAAAIQC2gziS/gAAAOEBAAATAAAAAAAAAAAAAAAAAAAAAABbQ29udGVudF9UeXBlc10ueG1sUEsB&#10;Ai0AFAAGAAgAAAAhADj9If/WAAAAlAEAAAsAAAAAAAAAAAAAAAAALwEAAF9yZWxzLy5yZWxzUEsB&#10;Ai0AFAAGAAgAAAAhAP4aV9YgAgAARQQAAA4AAAAAAAAAAAAAAAAALgIAAGRycy9lMm9Eb2MueG1s&#10;UEsBAi0AFAAGAAgAAAAhAKVfvjffAAAACAEAAA8AAAAAAAAAAAAAAAAAegQAAGRycy9kb3ducmV2&#10;LnhtbFBLBQYAAAAABAAEAPMAAACGBQAAAAA=&#10;" filled="f" stroked="f" strokeweight=".5pt">
              <v:textbox>
                <w:txbxContent>
                  <w:tbl>
                    <w:tblPr>
                      <w:tblW w:w="9542" w:type="dxa"/>
                      <w:tblBorders>
                        <w:insideH w:val="single" w:sz="4" w:space="0" w:color="auto"/>
                      </w:tblBorders>
                      <w:tblLook w:val="04A0" w:firstRow="1" w:lastRow="0" w:firstColumn="1" w:lastColumn="0" w:noHBand="0" w:noVBand="1"/>
                    </w:tblPr>
                    <w:tblGrid>
                      <w:gridCol w:w="1951"/>
                      <w:gridCol w:w="7591"/>
                    </w:tblGrid>
                    <w:tr w:rsidR="00E86CD8" w:rsidRPr="00EB1560" w14:paraId="5B36C6DE" w14:textId="77777777" w:rsidTr="0004128E">
                      <w:trPr>
                        <w:trHeight w:val="715"/>
                      </w:trPr>
                      <w:tc>
                        <w:tcPr>
                          <w:tcW w:w="1951" w:type="dxa"/>
                          <w:shd w:val="clear" w:color="auto" w:fill="auto"/>
                        </w:tcPr>
                        <w:p w14:paraId="6CF64ADB" w14:textId="406139C7" w:rsidR="00E86CD8" w:rsidRPr="00EB1560" w:rsidRDefault="00F523A2" w:rsidP="00F4577F">
                          <w:pPr>
                            <w:spacing w:after="0" w:line="240" w:lineRule="auto"/>
                            <w:jc w:val="center"/>
                            <w:rPr>
                              <w:rFonts w:ascii="Calibri" w:hAnsi="Calibri" w:cs="Calibri"/>
                              <w:bCs/>
                              <w:sz w:val="15"/>
                              <w:szCs w:val="15"/>
                            </w:rPr>
                          </w:pPr>
                          <w:r w:rsidRPr="00EB1560">
                            <w:rPr>
                              <w:rFonts w:ascii="Calibri" w:hAnsi="Calibri"/>
                              <w:sz w:val="15"/>
                            </w:rPr>
                            <w:t>LDK CONSULTANTS S.A.</w:t>
                          </w:r>
                        </w:p>
                      </w:tc>
                      <w:tc>
                        <w:tcPr>
                          <w:tcW w:w="7591" w:type="dxa"/>
                          <w:shd w:val="clear" w:color="auto" w:fill="auto"/>
                        </w:tcPr>
                        <w:p w14:paraId="3FA294E4" w14:textId="77777777" w:rsidR="00E86CD8" w:rsidRPr="00EB1560" w:rsidRDefault="00E86CD8" w:rsidP="0004128E">
                          <w:pPr>
                            <w:tabs>
                              <w:tab w:val="center" w:pos="4153"/>
                              <w:tab w:val="right" w:pos="8306"/>
                            </w:tabs>
                            <w:spacing w:before="120" w:after="0" w:line="120" w:lineRule="atLeast"/>
                            <w:jc w:val="left"/>
                            <w:rPr>
                              <w:rFonts w:ascii="Calibri" w:hAnsi="Calibri" w:cs="Calibri"/>
                              <w:b/>
                              <w:bCs/>
                              <w:color w:val="365F91"/>
                            </w:rPr>
                          </w:pPr>
                        </w:p>
                      </w:tc>
                    </w:tr>
                  </w:tbl>
                  <w:p w14:paraId="5F781CE5" w14:textId="77777777" w:rsidR="00E86CD8" w:rsidRPr="00EB1560"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rPr>
                    </w:pPr>
                  </w:p>
                </w:txbxContent>
              </v:textbox>
              <w10:wrap type="square"/>
            </v:shape>
          </w:pict>
        </mc:Fallback>
      </mc:AlternateContent>
    </w:r>
    <w:r w:rsidR="00F564ED" w:rsidRPr="00EB1560">
      <w:rPr>
        <w:noProof/>
        <w:lang w:eastAsia="el-GR"/>
      </w:rPr>
      <w:drawing>
        <wp:anchor distT="0" distB="0" distL="114300" distR="114300" simplePos="0" relativeHeight="251669504" behindDoc="1" locked="0" layoutInCell="1" allowOverlap="1" wp14:anchorId="4AEFA837" wp14:editId="3C8EB5DB">
          <wp:simplePos x="0" y="0"/>
          <wp:positionH relativeFrom="margin">
            <wp:align>left</wp:align>
          </wp:positionH>
          <wp:positionV relativeFrom="paragraph">
            <wp:posOffset>6350</wp:posOffset>
          </wp:positionV>
          <wp:extent cx="473811" cy="419100"/>
          <wp:effectExtent l="0" t="0" r="2540" b="0"/>
          <wp:wrapNone/>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LDK.pdf"/>
                  <pic:cNvPicPr/>
                </pic:nvPicPr>
                <pic:blipFill>
                  <a:blip r:embed="rId2">
                    <a:extLst>
                      <a:ext uri="{28A0092B-C50C-407E-A947-70E740481C1C}">
                        <a14:useLocalDpi xmlns:a14="http://schemas.microsoft.com/office/drawing/2010/main" val="0"/>
                      </a:ext>
                    </a:extLst>
                  </a:blip>
                  <a:stretch>
                    <a:fillRect/>
                  </a:stretch>
                </pic:blipFill>
                <pic:spPr>
                  <a:xfrm>
                    <a:off x="0" y="0"/>
                    <a:ext cx="481325" cy="425746"/>
                  </a:xfrm>
                  <a:prstGeom prst="rect">
                    <a:avLst/>
                  </a:prstGeom>
                </pic:spPr>
              </pic:pic>
            </a:graphicData>
          </a:graphic>
          <wp14:sizeRelH relativeFrom="margin">
            <wp14:pctWidth>0</wp14:pctWidth>
          </wp14:sizeRelH>
          <wp14:sizeRelV relativeFrom="margin">
            <wp14:pctHeight>0</wp14:pctHeight>
          </wp14:sizeRelV>
        </wp:anchor>
      </w:drawing>
    </w:r>
    <w:r w:rsidR="00F564ED" w:rsidRPr="00EB15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1915" w14:textId="77777777" w:rsidR="00C70E47" w:rsidRPr="00EB1560" w:rsidRDefault="00C70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B26AF" w14:textId="77777777" w:rsidR="00185338" w:rsidRPr="00EB1560" w:rsidRDefault="00185338" w:rsidP="00C90F41">
      <w:pPr>
        <w:spacing w:after="0" w:line="240" w:lineRule="auto"/>
      </w:pPr>
      <w:r w:rsidRPr="00EB1560">
        <w:separator/>
      </w:r>
    </w:p>
  </w:footnote>
  <w:footnote w:type="continuationSeparator" w:id="0">
    <w:p w14:paraId="2DCF924A" w14:textId="77777777" w:rsidR="00185338" w:rsidRPr="00EB1560" w:rsidRDefault="00185338" w:rsidP="00C90F41">
      <w:pPr>
        <w:spacing w:after="0" w:line="240" w:lineRule="auto"/>
      </w:pPr>
      <w:r w:rsidRPr="00EB156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1AB0" w14:textId="77777777" w:rsidR="00C70E47" w:rsidRPr="00EB1560" w:rsidRDefault="00C70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7080" w14:textId="63F2D92E" w:rsidR="00C90F41" w:rsidRPr="00EB1560" w:rsidRDefault="00117E27" w:rsidP="00F564ED">
    <w:pPr>
      <w:jc w:val="center"/>
    </w:pPr>
    <w:r w:rsidRPr="00EB1560">
      <w:rPr>
        <w:noProof/>
      </w:rPr>
      <w:drawing>
        <wp:inline distT="0" distB="0" distL="0" distR="0" wp14:anchorId="7682B4D1" wp14:editId="0F5FA07A">
          <wp:extent cx="2749801" cy="1289050"/>
          <wp:effectExtent l="0" t="0" r="0" b="0"/>
          <wp:docPr id="5" name="Picture 4" descr="A blue green and yellow logo&#10;&#10;Description automatically generated">
            <a:extLst xmlns:a="http://schemas.openxmlformats.org/drawingml/2006/main">
              <a:ext uri="{FF2B5EF4-FFF2-40B4-BE49-F238E27FC236}">
                <a16:creationId xmlns:a16="http://schemas.microsoft.com/office/drawing/2014/main" id="{FCDB4FC0-0906-5B55-35EC-A5376150F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green and yellow logo&#10;&#10;Description automatically generated">
                    <a:extLst>
                      <a:ext uri="{FF2B5EF4-FFF2-40B4-BE49-F238E27FC236}">
                        <a16:creationId xmlns:a16="http://schemas.microsoft.com/office/drawing/2014/main" id="{FCDB4FC0-0906-5B55-35EC-A5376150F34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8748" cy="1307307"/>
                  </a:xfrm>
                  <a:prstGeom prst="rect">
                    <a:avLst/>
                  </a:prstGeom>
                </pic:spPr>
              </pic:pic>
            </a:graphicData>
          </a:graphic>
        </wp:inline>
      </w:drawing>
    </w:r>
    <w:r w:rsidRPr="00EB1560">
      <w:rPr>
        <w:noProof/>
      </w:rPr>
      <w:drawing>
        <wp:anchor distT="0" distB="0" distL="114300" distR="114300" simplePos="0" relativeHeight="251660288" behindDoc="1" locked="0" layoutInCell="1" allowOverlap="1" wp14:anchorId="40ADE11A" wp14:editId="679BED7E">
          <wp:simplePos x="0" y="0"/>
          <wp:positionH relativeFrom="column">
            <wp:posOffset>8792210</wp:posOffset>
          </wp:positionH>
          <wp:positionV relativeFrom="paragraph">
            <wp:posOffset>302260</wp:posOffset>
          </wp:positionV>
          <wp:extent cx="1896560" cy="507365"/>
          <wp:effectExtent l="0" t="0" r="0" b="635"/>
          <wp:wrapNone/>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r w:rsidRPr="00EB1560">
      <w:rPr>
        <w:noProof/>
      </w:rPr>
      <w:drawing>
        <wp:anchor distT="0" distB="0" distL="114300" distR="114300" simplePos="0" relativeHeight="251659264" behindDoc="1" locked="0" layoutInCell="1" allowOverlap="1" wp14:anchorId="73B3C7FB" wp14:editId="6FF60C3E">
          <wp:simplePos x="0" y="0"/>
          <wp:positionH relativeFrom="column">
            <wp:posOffset>8792210</wp:posOffset>
          </wp:positionH>
          <wp:positionV relativeFrom="paragraph">
            <wp:posOffset>302260</wp:posOffset>
          </wp:positionV>
          <wp:extent cx="1896560" cy="507365"/>
          <wp:effectExtent l="0" t="0" r="0" b="635"/>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CA5E0" w14:textId="77777777" w:rsidR="00C70E47" w:rsidRPr="00EB1560" w:rsidRDefault="00C70E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41"/>
    <w:rsid w:val="000035CE"/>
    <w:rsid w:val="00007E65"/>
    <w:rsid w:val="000115D4"/>
    <w:rsid w:val="000153A3"/>
    <w:rsid w:val="000247FE"/>
    <w:rsid w:val="000360B8"/>
    <w:rsid w:val="000724CE"/>
    <w:rsid w:val="000912E9"/>
    <w:rsid w:val="000A4954"/>
    <w:rsid w:val="000B4D4E"/>
    <w:rsid w:val="000C5788"/>
    <w:rsid w:val="000E0A54"/>
    <w:rsid w:val="001027C3"/>
    <w:rsid w:val="00117E27"/>
    <w:rsid w:val="001214BF"/>
    <w:rsid w:val="00122FCE"/>
    <w:rsid w:val="00131B5F"/>
    <w:rsid w:val="00133442"/>
    <w:rsid w:val="00144F4B"/>
    <w:rsid w:val="00145BF2"/>
    <w:rsid w:val="00180207"/>
    <w:rsid w:val="001814A4"/>
    <w:rsid w:val="00185338"/>
    <w:rsid w:val="00186989"/>
    <w:rsid w:val="001906AD"/>
    <w:rsid w:val="001B2F2F"/>
    <w:rsid w:val="001B31BD"/>
    <w:rsid w:val="001C3ED6"/>
    <w:rsid w:val="001D5D13"/>
    <w:rsid w:val="001D7E90"/>
    <w:rsid w:val="002129E3"/>
    <w:rsid w:val="00213196"/>
    <w:rsid w:val="00216E76"/>
    <w:rsid w:val="00217A64"/>
    <w:rsid w:val="002266FD"/>
    <w:rsid w:val="00241E32"/>
    <w:rsid w:val="00252B87"/>
    <w:rsid w:val="00287766"/>
    <w:rsid w:val="0029503D"/>
    <w:rsid w:val="002B486F"/>
    <w:rsid w:val="002C3F6D"/>
    <w:rsid w:val="002C5B32"/>
    <w:rsid w:val="002D2FBF"/>
    <w:rsid w:val="002D5CEF"/>
    <w:rsid w:val="002E6E54"/>
    <w:rsid w:val="003116CC"/>
    <w:rsid w:val="003121A4"/>
    <w:rsid w:val="00334286"/>
    <w:rsid w:val="00341964"/>
    <w:rsid w:val="00342273"/>
    <w:rsid w:val="003440D5"/>
    <w:rsid w:val="00355BEF"/>
    <w:rsid w:val="00360E87"/>
    <w:rsid w:val="0036626C"/>
    <w:rsid w:val="00373BB7"/>
    <w:rsid w:val="00376737"/>
    <w:rsid w:val="00383472"/>
    <w:rsid w:val="003908AA"/>
    <w:rsid w:val="003A37AC"/>
    <w:rsid w:val="003B3746"/>
    <w:rsid w:val="003C444E"/>
    <w:rsid w:val="003C75E4"/>
    <w:rsid w:val="003D1CF0"/>
    <w:rsid w:val="003E16DF"/>
    <w:rsid w:val="003E54A5"/>
    <w:rsid w:val="003E583B"/>
    <w:rsid w:val="003F5EE1"/>
    <w:rsid w:val="00417351"/>
    <w:rsid w:val="004208C2"/>
    <w:rsid w:val="00435472"/>
    <w:rsid w:val="0045133B"/>
    <w:rsid w:val="004619FC"/>
    <w:rsid w:val="00462E18"/>
    <w:rsid w:val="00463F8D"/>
    <w:rsid w:val="00467041"/>
    <w:rsid w:val="0047374E"/>
    <w:rsid w:val="00476A5D"/>
    <w:rsid w:val="00477069"/>
    <w:rsid w:val="00477DC4"/>
    <w:rsid w:val="0048157F"/>
    <w:rsid w:val="004908BF"/>
    <w:rsid w:val="00495232"/>
    <w:rsid w:val="004966B8"/>
    <w:rsid w:val="004A0449"/>
    <w:rsid w:val="004A39CB"/>
    <w:rsid w:val="004A557F"/>
    <w:rsid w:val="004B6A9B"/>
    <w:rsid w:val="004B72D9"/>
    <w:rsid w:val="004D1116"/>
    <w:rsid w:val="004D3366"/>
    <w:rsid w:val="004E2733"/>
    <w:rsid w:val="004F409A"/>
    <w:rsid w:val="00503D1B"/>
    <w:rsid w:val="005138E8"/>
    <w:rsid w:val="0052175A"/>
    <w:rsid w:val="005450C5"/>
    <w:rsid w:val="00555879"/>
    <w:rsid w:val="0056574C"/>
    <w:rsid w:val="0057561D"/>
    <w:rsid w:val="005A74C2"/>
    <w:rsid w:val="005B5714"/>
    <w:rsid w:val="005B70F2"/>
    <w:rsid w:val="005C1334"/>
    <w:rsid w:val="005C64C0"/>
    <w:rsid w:val="005E13DE"/>
    <w:rsid w:val="005E7EDE"/>
    <w:rsid w:val="006069AF"/>
    <w:rsid w:val="0062661E"/>
    <w:rsid w:val="00641BF6"/>
    <w:rsid w:val="0065221C"/>
    <w:rsid w:val="0065720D"/>
    <w:rsid w:val="00666CD2"/>
    <w:rsid w:val="00672B49"/>
    <w:rsid w:val="0067451E"/>
    <w:rsid w:val="006831AB"/>
    <w:rsid w:val="00691256"/>
    <w:rsid w:val="006931DD"/>
    <w:rsid w:val="006A7875"/>
    <w:rsid w:val="006A7B7B"/>
    <w:rsid w:val="006A7CEC"/>
    <w:rsid w:val="006B15CB"/>
    <w:rsid w:val="006B3CBC"/>
    <w:rsid w:val="006B4748"/>
    <w:rsid w:val="006C2E05"/>
    <w:rsid w:val="006E29C8"/>
    <w:rsid w:val="006F1B8E"/>
    <w:rsid w:val="006F2B4C"/>
    <w:rsid w:val="00721C5D"/>
    <w:rsid w:val="007332A2"/>
    <w:rsid w:val="00742A55"/>
    <w:rsid w:val="00765642"/>
    <w:rsid w:val="00766131"/>
    <w:rsid w:val="00774FA5"/>
    <w:rsid w:val="007820DA"/>
    <w:rsid w:val="00787AB1"/>
    <w:rsid w:val="007A2095"/>
    <w:rsid w:val="007A4E0A"/>
    <w:rsid w:val="007A7B56"/>
    <w:rsid w:val="007B2BE5"/>
    <w:rsid w:val="007B4511"/>
    <w:rsid w:val="007C33CA"/>
    <w:rsid w:val="007C3E09"/>
    <w:rsid w:val="007E08C6"/>
    <w:rsid w:val="007F2395"/>
    <w:rsid w:val="007F26A6"/>
    <w:rsid w:val="00802B67"/>
    <w:rsid w:val="00804C72"/>
    <w:rsid w:val="00846762"/>
    <w:rsid w:val="008477DE"/>
    <w:rsid w:val="008835C3"/>
    <w:rsid w:val="00885DCD"/>
    <w:rsid w:val="0088718B"/>
    <w:rsid w:val="0089034F"/>
    <w:rsid w:val="008C6E83"/>
    <w:rsid w:val="008D4EBA"/>
    <w:rsid w:val="008E6234"/>
    <w:rsid w:val="008F01F3"/>
    <w:rsid w:val="00906719"/>
    <w:rsid w:val="00922CE2"/>
    <w:rsid w:val="00925363"/>
    <w:rsid w:val="00927012"/>
    <w:rsid w:val="00937BE0"/>
    <w:rsid w:val="009436CE"/>
    <w:rsid w:val="00946B21"/>
    <w:rsid w:val="00953CD7"/>
    <w:rsid w:val="00960A68"/>
    <w:rsid w:val="00963A6D"/>
    <w:rsid w:val="009652B6"/>
    <w:rsid w:val="00980676"/>
    <w:rsid w:val="00980A8B"/>
    <w:rsid w:val="0099013D"/>
    <w:rsid w:val="009B28D4"/>
    <w:rsid w:val="009C1CE9"/>
    <w:rsid w:val="009D5648"/>
    <w:rsid w:val="009D56BC"/>
    <w:rsid w:val="009D7515"/>
    <w:rsid w:val="009E4362"/>
    <w:rsid w:val="009E5762"/>
    <w:rsid w:val="00A04E41"/>
    <w:rsid w:val="00A157AF"/>
    <w:rsid w:val="00A40268"/>
    <w:rsid w:val="00A50F8D"/>
    <w:rsid w:val="00A51CAD"/>
    <w:rsid w:val="00A52EBA"/>
    <w:rsid w:val="00A6070C"/>
    <w:rsid w:val="00A705E8"/>
    <w:rsid w:val="00A7772B"/>
    <w:rsid w:val="00A85BBC"/>
    <w:rsid w:val="00A92315"/>
    <w:rsid w:val="00A92A72"/>
    <w:rsid w:val="00AA48F8"/>
    <w:rsid w:val="00AD12B5"/>
    <w:rsid w:val="00AD5528"/>
    <w:rsid w:val="00AE2CBF"/>
    <w:rsid w:val="00AE39D2"/>
    <w:rsid w:val="00AE54B9"/>
    <w:rsid w:val="00AF1859"/>
    <w:rsid w:val="00B408AA"/>
    <w:rsid w:val="00B6316E"/>
    <w:rsid w:val="00B83B70"/>
    <w:rsid w:val="00B84A94"/>
    <w:rsid w:val="00B940C8"/>
    <w:rsid w:val="00BA198B"/>
    <w:rsid w:val="00BA4813"/>
    <w:rsid w:val="00BB33D2"/>
    <w:rsid w:val="00BC2E5C"/>
    <w:rsid w:val="00BD6987"/>
    <w:rsid w:val="00BE7AB3"/>
    <w:rsid w:val="00BF133D"/>
    <w:rsid w:val="00C042C0"/>
    <w:rsid w:val="00C07C7A"/>
    <w:rsid w:val="00C2086C"/>
    <w:rsid w:val="00C260DA"/>
    <w:rsid w:val="00C45865"/>
    <w:rsid w:val="00C51D98"/>
    <w:rsid w:val="00C54D51"/>
    <w:rsid w:val="00C70E47"/>
    <w:rsid w:val="00C77758"/>
    <w:rsid w:val="00C83BD4"/>
    <w:rsid w:val="00C86D39"/>
    <w:rsid w:val="00C90F41"/>
    <w:rsid w:val="00CA17AB"/>
    <w:rsid w:val="00CB27EB"/>
    <w:rsid w:val="00CB66BC"/>
    <w:rsid w:val="00CC530B"/>
    <w:rsid w:val="00CC6202"/>
    <w:rsid w:val="00D304FF"/>
    <w:rsid w:val="00D36FF5"/>
    <w:rsid w:val="00D8410C"/>
    <w:rsid w:val="00DD1270"/>
    <w:rsid w:val="00DF0E12"/>
    <w:rsid w:val="00DF724C"/>
    <w:rsid w:val="00E00338"/>
    <w:rsid w:val="00E167BB"/>
    <w:rsid w:val="00E37627"/>
    <w:rsid w:val="00E62FAE"/>
    <w:rsid w:val="00E86CD8"/>
    <w:rsid w:val="00E96869"/>
    <w:rsid w:val="00EA3E7B"/>
    <w:rsid w:val="00EB1560"/>
    <w:rsid w:val="00EC2498"/>
    <w:rsid w:val="00ED23CD"/>
    <w:rsid w:val="00ED366A"/>
    <w:rsid w:val="00ED652E"/>
    <w:rsid w:val="00EE778B"/>
    <w:rsid w:val="00EF0218"/>
    <w:rsid w:val="00F0081F"/>
    <w:rsid w:val="00F05DF5"/>
    <w:rsid w:val="00F11BC0"/>
    <w:rsid w:val="00F4283E"/>
    <w:rsid w:val="00F45F53"/>
    <w:rsid w:val="00F47FEF"/>
    <w:rsid w:val="00F523A2"/>
    <w:rsid w:val="00F564ED"/>
    <w:rsid w:val="00F56CE8"/>
    <w:rsid w:val="00F62BD8"/>
    <w:rsid w:val="00F725D0"/>
    <w:rsid w:val="00F72E59"/>
    <w:rsid w:val="00F910BB"/>
    <w:rsid w:val="00F96B81"/>
    <w:rsid w:val="00FC0BF8"/>
    <w:rsid w:val="00FF5BD7"/>
    <w:rsid w:val="00FF75B5"/>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ED276C"/>
  <w14:defaultImageDpi w14:val="32767"/>
  <w15:docId w15:val="{9813F657-816B-45AE-9FDE-2065FB0C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B67"/>
    <w:pPr>
      <w:spacing w:after="200" w:line="276" w:lineRule="auto"/>
      <w:jc w:val="both"/>
    </w:pPr>
    <w:rPr>
      <w:sz w:val="20"/>
      <w:szCs w:val="20"/>
      <w:lang w:eastAsia="el-GR"/>
    </w:rPr>
  </w:style>
  <w:style w:type="paragraph" w:styleId="Heading1">
    <w:name w:val="heading 1"/>
    <w:basedOn w:val="Normal"/>
    <w:next w:val="Normal"/>
    <w:link w:val="Heading1Char"/>
    <w:autoRedefine/>
    <w:uiPriority w:val="9"/>
    <w:qFormat/>
    <w:rsid w:val="00C86D39"/>
    <w:pPr>
      <w:pBdr>
        <w:bottom w:val="single" w:sz="2" w:space="1" w:color="ACCF79"/>
      </w:pBdr>
      <w:spacing w:before="300" w:after="40"/>
      <w:jc w:val="left"/>
      <w:outlineLvl w:val="0"/>
    </w:pPr>
    <w:rPr>
      <w:rFonts w:cs="Times New Roman (Body CS)"/>
      <w:b/>
      <w:smallCaps/>
      <w:color w:val="1E407C"/>
      <w:spacing w:val="5"/>
      <w:sz w:val="32"/>
      <w:szCs w:val="32"/>
    </w:rPr>
  </w:style>
  <w:style w:type="paragraph" w:styleId="Heading2">
    <w:name w:val="heading 2"/>
    <w:basedOn w:val="Normal"/>
    <w:next w:val="Normal"/>
    <w:link w:val="Heading2Char"/>
    <w:uiPriority w:val="9"/>
    <w:semiHidden/>
    <w:unhideWhenUsed/>
    <w:qFormat/>
    <w:rsid w:val="00A705E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A705E8"/>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01F3"/>
    <w:pPr>
      <w:autoSpaceDE w:val="0"/>
      <w:autoSpaceDN w:val="0"/>
      <w:adjustRightInd w:val="0"/>
      <w:spacing w:before="240" w:after="240" w:line="360" w:lineRule="auto"/>
      <w:ind w:firstLine="360"/>
    </w:pPr>
    <w:rPr>
      <w:rFonts w:ascii="Century Gothic" w:hAnsi="Century Gothic" w:cs="Century Gothic"/>
      <w:color w:val="000000"/>
      <w:sz w:val="22"/>
      <w:lang w:eastAsia="fr-FR"/>
    </w:rPr>
  </w:style>
  <w:style w:type="paragraph" w:styleId="Header">
    <w:name w:val="header"/>
    <w:basedOn w:val="Normal"/>
    <w:link w:val="HeaderChar"/>
    <w:uiPriority w:val="99"/>
    <w:unhideWhenUsed/>
    <w:rsid w:val="00C90F41"/>
    <w:pPr>
      <w:tabs>
        <w:tab w:val="center" w:pos="4536"/>
        <w:tab w:val="right" w:pos="9072"/>
      </w:tabs>
      <w:spacing w:after="0" w:line="240" w:lineRule="auto"/>
      <w:jc w:val="left"/>
    </w:pPr>
    <w:rPr>
      <w:sz w:val="24"/>
      <w:szCs w:val="24"/>
      <w:lang w:eastAsia="ja-JP"/>
    </w:rPr>
  </w:style>
  <w:style w:type="character" w:customStyle="1" w:styleId="HeaderChar">
    <w:name w:val="Header Char"/>
    <w:basedOn w:val="DefaultParagraphFont"/>
    <w:link w:val="Header"/>
    <w:uiPriority w:val="99"/>
    <w:rsid w:val="00C90F41"/>
  </w:style>
  <w:style w:type="paragraph" w:styleId="Footer">
    <w:name w:val="footer"/>
    <w:basedOn w:val="Normal"/>
    <w:link w:val="FooterChar"/>
    <w:uiPriority w:val="99"/>
    <w:unhideWhenUsed/>
    <w:rsid w:val="00C90F41"/>
    <w:pPr>
      <w:tabs>
        <w:tab w:val="center" w:pos="4536"/>
        <w:tab w:val="right" w:pos="9072"/>
      </w:tabs>
      <w:spacing w:after="0" w:line="240" w:lineRule="auto"/>
      <w:jc w:val="left"/>
    </w:pPr>
    <w:rPr>
      <w:sz w:val="24"/>
      <w:szCs w:val="24"/>
      <w:lang w:eastAsia="ja-JP"/>
    </w:rPr>
  </w:style>
  <w:style w:type="character" w:customStyle="1" w:styleId="FooterChar">
    <w:name w:val="Footer Char"/>
    <w:basedOn w:val="DefaultParagraphFont"/>
    <w:link w:val="Footer"/>
    <w:uiPriority w:val="99"/>
    <w:rsid w:val="00C90F41"/>
  </w:style>
  <w:style w:type="character" w:customStyle="1" w:styleId="Heading1Char">
    <w:name w:val="Heading 1 Char"/>
    <w:basedOn w:val="DefaultParagraphFont"/>
    <w:link w:val="Heading1"/>
    <w:uiPriority w:val="9"/>
    <w:rsid w:val="00C86D39"/>
    <w:rPr>
      <w:rFonts w:cs="Times New Roman (Body CS)"/>
      <w:b/>
      <w:smallCaps/>
      <w:color w:val="1E407C"/>
      <w:spacing w:val="5"/>
      <w:sz w:val="32"/>
      <w:szCs w:val="32"/>
      <w:lang w:val="fr-FR" w:eastAsia="el-GR"/>
    </w:rPr>
  </w:style>
  <w:style w:type="paragraph" w:styleId="FootnoteText">
    <w:name w:val="footnote text"/>
    <w:aliases w:val="Point 3 Char,Footnote text,Char"/>
    <w:basedOn w:val="Normal"/>
    <w:link w:val="FootnoteTextChar"/>
    <w:uiPriority w:val="99"/>
    <w:semiHidden/>
    <w:rsid w:val="00C90F41"/>
    <w:pPr>
      <w:overflowPunct w:val="0"/>
      <w:autoSpaceDE w:val="0"/>
      <w:autoSpaceDN w:val="0"/>
      <w:adjustRightInd w:val="0"/>
      <w:spacing w:after="0" w:line="240" w:lineRule="auto"/>
      <w:ind w:left="1134"/>
      <w:jc w:val="left"/>
      <w:textAlignment w:val="baseline"/>
    </w:pPr>
    <w:rPr>
      <w:color w:val="808080"/>
      <w:sz w:val="18"/>
    </w:rPr>
  </w:style>
  <w:style w:type="character" w:customStyle="1" w:styleId="FootnoteTextChar">
    <w:name w:val="Footnote Text Char"/>
    <w:aliases w:val="Point 3 Char Char,Footnote text Char,Char Char"/>
    <w:basedOn w:val="DefaultParagraphFont"/>
    <w:link w:val="FootnoteText"/>
    <w:uiPriority w:val="99"/>
    <w:semiHidden/>
    <w:rsid w:val="00C90F41"/>
    <w:rPr>
      <w:color w:val="808080"/>
      <w:sz w:val="18"/>
      <w:szCs w:val="20"/>
      <w:lang w:val="fr-FR" w:eastAsia="el-GR"/>
    </w:rPr>
  </w:style>
  <w:style w:type="character" w:styleId="FootnoteReference">
    <w:name w:val="footnote reference"/>
    <w:uiPriority w:val="99"/>
    <w:rsid w:val="00C90F41"/>
    <w:rPr>
      <w:vertAlign w:val="superscript"/>
    </w:rPr>
  </w:style>
  <w:style w:type="paragraph" w:styleId="NormalWeb">
    <w:name w:val="Normal (Web)"/>
    <w:basedOn w:val="Normal"/>
    <w:uiPriority w:val="99"/>
    <w:unhideWhenUsed/>
    <w:rsid w:val="00C90F41"/>
    <w:pPr>
      <w:spacing w:before="100" w:beforeAutospacing="1" w:after="100" w:afterAutospacing="1" w:line="240" w:lineRule="auto"/>
      <w:jc w:val="left"/>
    </w:pPr>
    <w:rPr>
      <w:rFonts w:ascii="Times New Roman" w:hAnsi="Times New Roman"/>
      <w:sz w:val="24"/>
    </w:rPr>
  </w:style>
  <w:style w:type="paragraph" w:customStyle="1" w:styleId="Highlight1">
    <w:name w:val="Highlight1"/>
    <w:basedOn w:val="Normal"/>
    <w:uiPriority w:val="99"/>
    <w:qFormat/>
    <w:rsid w:val="00C86D39"/>
    <w:rPr>
      <w:b/>
      <w:color w:val="ED6708"/>
      <w:sz w:val="21"/>
      <w:szCs w:val="21"/>
    </w:rPr>
  </w:style>
  <w:style w:type="paragraph" w:customStyle="1" w:styleId="Highlight3">
    <w:name w:val="Highlight3"/>
    <w:basedOn w:val="Normal"/>
    <w:qFormat/>
    <w:rsid w:val="00802B67"/>
    <w:pPr>
      <w:shd w:val="clear" w:color="auto" w:fill="2897A4"/>
    </w:pPr>
    <w:rPr>
      <w:b/>
      <w:color w:val="1A4A85"/>
      <w:sz w:val="24"/>
    </w:rPr>
  </w:style>
  <w:style w:type="character" w:styleId="Strong">
    <w:name w:val="Strong"/>
    <w:basedOn w:val="DefaultParagraphFont"/>
    <w:uiPriority w:val="22"/>
    <w:qFormat/>
    <w:rsid w:val="007B2BE5"/>
    <w:rPr>
      <w:b/>
      <w:bCs/>
    </w:rPr>
  </w:style>
  <w:style w:type="character" w:styleId="Hyperlink">
    <w:name w:val="Hyperlink"/>
    <w:basedOn w:val="DefaultParagraphFont"/>
    <w:uiPriority w:val="99"/>
    <w:unhideWhenUsed/>
    <w:rsid w:val="00C86D39"/>
    <w:rPr>
      <w:rFonts w:asciiTheme="minorHAnsi" w:hAnsiTheme="minorHAnsi"/>
      <w:color w:val="0000FF"/>
      <w:u w:val="single"/>
    </w:rPr>
  </w:style>
  <w:style w:type="character" w:customStyle="1" w:styleId="UnresolvedMention1">
    <w:name w:val="Unresolved Mention1"/>
    <w:basedOn w:val="DefaultParagraphFont"/>
    <w:uiPriority w:val="99"/>
    <w:semiHidden/>
    <w:unhideWhenUsed/>
    <w:rsid w:val="006F1B8E"/>
    <w:rPr>
      <w:color w:val="605E5C"/>
      <w:shd w:val="clear" w:color="auto" w:fill="E1DFDD"/>
    </w:rPr>
  </w:style>
  <w:style w:type="paragraph" w:customStyle="1" w:styleId="Style1">
    <w:name w:val="Style1"/>
    <w:basedOn w:val="Highlight3"/>
    <w:qFormat/>
    <w:rsid w:val="003440D5"/>
    <w:pPr>
      <w:shd w:val="clear" w:color="auto" w:fill="ABE5EB"/>
      <w:spacing w:after="120" w:line="240" w:lineRule="atLeast"/>
      <w:contextualSpacing/>
    </w:pPr>
    <w:rPr>
      <w:color w:val="auto"/>
    </w:rPr>
  </w:style>
  <w:style w:type="paragraph" w:customStyle="1" w:styleId="Style2">
    <w:name w:val="Style2"/>
    <w:basedOn w:val="Style1"/>
    <w:qFormat/>
    <w:rsid w:val="00A6070C"/>
    <w:pPr>
      <w:shd w:val="clear" w:color="auto" w:fill="3CC2D0"/>
    </w:pPr>
    <w:rPr>
      <w:rFonts w:asciiTheme="majorHAnsi" w:hAnsiTheme="majorHAnsi" w:cstheme="majorHAnsi"/>
    </w:rPr>
  </w:style>
  <w:style w:type="paragraph" w:styleId="BalloonText">
    <w:name w:val="Balloon Text"/>
    <w:basedOn w:val="Normal"/>
    <w:link w:val="BalloonTextChar"/>
    <w:uiPriority w:val="99"/>
    <w:semiHidden/>
    <w:unhideWhenUsed/>
    <w:rsid w:val="00C83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BD4"/>
    <w:rPr>
      <w:rFonts w:ascii="Tahoma" w:hAnsi="Tahoma" w:cs="Tahoma"/>
      <w:sz w:val="16"/>
      <w:szCs w:val="16"/>
      <w:lang w:eastAsia="el-GR"/>
    </w:rPr>
  </w:style>
  <w:style w:type="paragraph" w:styleId="HTMLPreformatted">
    <w:name w:val="HTML Preformatted"/>
    <w:basedOn w:val="Normal"/>
    <w:link w:val="HTMLPreformattedChar"/>
    <w:uiPriority w:val="99"/>
    <w:semiHidden/>
    <w:unhideWhenUsed/>
    <w:rsid w:val="00C83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val="el-GR"/>
    </w:rPr>
  </w:style>
  <w:style w:type="character" w:customStyle="1" w:styleId="HTMLPreformattedChar">
    <w:name w:val="HTML Preformatted Char"/>
    <w:basedOn w:val="DefaultParagraphFont"/>
    <w:link w:val="HTMLPreformatted"/>
    <w:uiPriority w:val="99"/>
    <w:semiHidden/>
    <w:rsid w:val="00C83BD4"/>
    <w:rPr>
      <w:rFonts w:ascii="Courier New" w:eastAsia="Times New Roman" w:hAnsi="Courier New" w:cs="Courier New"/>
      <w:sz w:val="20"/>
      <w:szCs w:val="20"/>
      <w:lang w:val="el-GR" w:eastAsia="el-GR"/>
    </w:rPr>
  </w:style>
  <w:style w:type="character" w:customStyle="1" w:styleId="y2iqfc">
    <w:name w:val="y2iqfc"/>
    <w:basedOn w:val="DefaultParagraphFont"/>
    <w:rsid w:val="00C83BD4"/>
  </w:style>
  <w:style w:type="character" w:customStyle="1" w:styleId="Heading2Char">
    <w:name w:val="Heading 2 Char"/>
    <w:basedOn w:val="DefaultParagraphFont"/>
    <w:link w:val="Heading2"/>
    <w:uiPriority w:val="9"/>
    <w:semiHidden/>
    <w:rsid w:val="00A705E8"/>
    <w:rPr>
      <w:rFonts w:asciiTheme="majorHAnsi" w:eastAsiaTheme="majorEastAsia" w:hAnsiTheme="majorHAnsi" w:cstheme="majorBidi"/>
      <w:b/>
      <w:bCs/>
      <w:color w:val="4472C4" w:themeColor="accent1"/>
      <w:sz w:val="26"/>
      <w:szCs w:val="26"/>
      <w:lang w:eastAsia="el-GR"/>
    </w:rPr>
  </w:style>
  <w:style w:type="character" w:customStyle="1" w:styleId="Heading3Char">
    <w:name w:val="Heading 3 Char"/>
    <w:basedOn w:val="DefaultParagraphFont"/>
    <w:link w:val="Heading3"/>
    <w:uiPriority w:val="9"/>
    <w:semiHidden/>
    <w:rsid w:val="00A705E8"/>
    <w:rPr>
      <w:rFonts w:asciiTheme="majorHAnsi" w:eastAsiaTheme="majorEastAsia" w:hAnsiTheme="majorHAnsi" w:cstheme="majorBidi"/>
      <w:b/>
      <w:bCs/>
      <w:color w:val="4472C4" w:themeColor="accent1"/>
      <w:sz w:val="20"/>
      <w:szCs w:val="20"/>
      <w:lang w:eastAsia="el-GR"/>
    </w:rPr>
  </w:style>
  <w:style w:type="character" w:customStyle="1" w:styleId="w7gcoc">
    <w:name w:val="w7gcoc"/>
    <w:basedOn w:val="DefaultParagraphFont"/>
    <w:rsid w:val="00A705E8"/>
  </w:style>
  <w:style w:type="character" w:customStyle="1" w:styleId="v9tjod">
    <w:name w:val="v9tjod"/>
    <w:basedOn w:val="DefaultParagraphFont"/>
    <w:rsid w:val="00A70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64538">
      <w:bodyDiv w:val="1"/>
      <w:marLeft w:val="0"/>
      <w:marRight w:val="0"/>
      <w:marTop w:val="0"/>
      <w:marBottom w:val="0"/>
      <w:divBdr>
        <w:top w:val="none" w:sz="0" w:space="0" w:color="auto"/>
        <w:left w:val="none" w:sz="0" w:space="0" w:color="auto"/>
        <w:bottom w:val="none" w:sz="0" w:space="0" w:color="auto"/>
        <w:right w:val="none" w:sz="0" w:space="0" w:color="auto"/>
      </w:divBdr>
    </w:div>
    <w:div w:id="397636594">
      <w:bodyDiv w:val="1"/>
      <w:marLeft w:val="0"/>
      <w:marRight w:val="0"/>
      <w:marTop w:val="0"/>
      <w:marBottom w:val="0"/>
      <w:divBdr>
        <w:top w:val="none" w:sz="0" w:space="0" w:color="auto"/>
        <w:left w:val="none" w:sz="0" w:space="0" w:color="auto"/>
        <w:bottom w:val="none" w:sz="0" w:space="0" w:color="auto"/>
        <w:right w:val="none" w:sz="0" w:space="0" w:color="auto"/>
      </w:divBdr>
    </w:div>
    <w:div w:id="522402912">
      <w:bodyDiv w:val="1"/>
      <w:marLeft w:val="0"/>
      <w:marRight w:val="0"/>
      <w:marTop w:val="0"/>
      <w:marBottom w:val="0"/>
      <w:divBdr>
        <w:top w:val="none" w:sz="0" w:space="0" w:color="auto"/>
        <w:left w:val="none" w:sz="0" w:space="0" w:color="auto"/>
        <w:bottom w:val="none" w:sz="0" w:space="0" w:color="auto"/>
        <w:right w:val="none" w:sz="0" w:space="0" w:color="auto"/>
      </w:divBdr>
      <w:divsChild>
        <w:div w:id="213542454">
          <w:marLeft w:val="0"/>
          <w:marRight w:val="0"/>
          <w:marTop w:val="0"/>
          <w:marBottom w:val="0"/>
          <w:divBdr>
            <w:top w:val="none" w:sz="0" w:space="0" w:color="auto"/>
            <w:left w:val="none" w:sz="0" w:space="0" w:color="auto"/>
            <w:bottom w:val="none" w:sz="0" w:space="0" w:color="auto"/>
            <w:right w:val="none" w:sz="0" w:space="0" w:color="auto"/>
          </w:divBdr>
          <w:divsChild>
            <w:div w:id="1364359330">
              <w:marLeft w:val="0"/>
              <w:marRight w:val="0"/>
              <w:marTop w:val="0"/>
              <w:marBottom w:val="0"/>
              <w:divBdr>
                <w:top w:val="none" w:sz="0" w:space="0" w:color="auto"/>
                <w:left w:val="none" w:sz="0" w:space="0" w:color="auto"/>
                <w:bottom w:val="none" w:sz="0" w:space="0" w:color="auto"/>
                <w:right w:val="none" w:sz="0" w:space="0" w:color="auto"/>
              </w:divBdr>
              <w:divsChild>
                <w:div w:id="515116202">
                  <w:marLeft w:val="0"/>
                  <w:marRight w:val="0"/>
                  <w:marTop w:val="0"/>
                  <w:marBottom w:val="0"/>
                  <w:divBdr>
                    <w:top w:val="none" w:sz="0" w:space="0" w:color="auto"/>
                    <w:left w:val="none" w:sz="0" w:space="0" w:color="auto"/>
                    <w:bottom w:val="none" w:sz="0" w:space="0" w:color="auto"/>
                    <w:right w:val="none" w:sz="0" w:space="0" w:color="auto"/>
                  </w:divBdr>
                  <w:divsChild>
                    <w:div w:id="1249655576">
                      <w:marLeft w:val="0"/>
                      <w:marRight w:val="0"/>
                      <w:marTop w:val="0"/>
                      <w:marBottom w:val="0"/>
                      <w:divBdr>
                        <w:top w:val="none" w:sz="0" w:space="0" w:color="auto"/>
                        <w:left w:val="none" w:sz="0" w:space="0" w:color="auto"/>
                        <w:bottom w:val="none" w:sz="0" w:space="0" w:color="auto"/>
                        <w:right w:val="none" w:sz="0" w:space="0" w:color="auto"/>
                      </w:divBdr>
                      <w:divsChild>
                        <w:div w:id="1932726">
                          <w:marLeft w:val="0"/>
                          <w:marRight w:val="0"/>
                          <w:marTop w:val="0"/>
                          <w:marBottom w:val="0"/>
                          <w:divBdr>
                            <w:top w:val="none" w:sz="0" w:space="0" w:color="auto"/>
                            <w:left w:val="none" w:sz="0" w:space="0" w:color="auto"/>
                            <w:bottom w:val="none" w:sz="0" w:space="0" w:color="auto"/>
                            <w:right w:val="none" w:sz="0" w:space="0" w:color="auto"/>
                          </w:divBdr>
                          <w:divsChild>
                            <w:div w:id="2011983776">
                              <w:marLeft w:val="0"/>
                              <w:marRight w:val="0"/>
                              <w:marTop w:val="0"/>
                              <w:marBottom w:val="0"/>
                              <w:divBdr>
                                <w:top w:val="none" w:sz="0" w:space="0" w:color="auto"/>
                                <w:left w:val="none" w:sz="0" w:space="0" w:color="auto"/>
                                <w:bottom w:val="none" w:sz="0" w:space="0" w:color="auto"/>
                                <w:right w:val="none" w:sz="0" w:space="0" w:color="auto"/>
                              </w:divBdr>
                              <w:divsChild>
                                <w:div w:id="630331520">
                                  <w:marLeft w:val="0"/>
                                  <w:marRight w:val="0"/>
                                  <w:marTop w:val="0"/>
                                  <w:marBottom w:val="0"/>
                                  <w:divBdr>
                                    <w:top w:val="none" w:sz="0" w:space="0" w:color="auto"/>
                                    <w:left w:val="none" w:sz="0" w:space="0" w:color="auto"/>
                                    <w:bottom w:val="none" w:sz="0" w:space="0" w:color="auto"/>
                                    <w:right w:val="none" w:sz="0" w:space="0" w:color="auto"/>
                                  </w:divBdr>
                                  <w:divsChild>
                                    <w:div w:id="706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714443">
      <w:bodyDiv w:val="1"/>
      <w:marLeft w:val="0"/>
      <w:marRight w:val="0"/>
      <w:marTop w:val="0"/>
      <w:marBottom w:val="0"/>
      <w:divBdr>
        <w:top w:val="none" w:sz="0" w:space="0" w:color="auto"/>
        <w:left w:val="none" w:sz="0" w:space="0" w:color="auto"/>
        <w:bottom w:val="none" w:sz="0" w:space="0" w:color="auto"/>
        <w:right w:val="none" w:sz="0" w:space="0" w:color="auto"/>
      </w:divBdr>
    </w:div>
    <w:div w:id="679897641">
      <w:bodyDiv w:val="1"/>
      <w:marLeft w:val="0"/>
      <w:marRight w:val="0"/>
      <w:marTop w:val="0"/>
      <w:marBottom w:val="0"/>
      <w:divBdr>
        <w:top w:val="none" w:sz="0" w:space="0" w:color="auto"/>
        <w:left w:val="none" w:sz="0" w:space="0" w:color="auto"/>
        <w:bottom w:val="none" w:sz="0" w:space="0" w:color="auto"/>
        <w:right w:val="none" w:sz="0" w:space="0" w:color="auto"/>
      </w:divBdr>
    </w:div>
    <w:div w:id="885407874">
      <w:bodyDiv w:val="1"/>
      <w:marLeft w:val="0"/>
      <w:marRight w:val="0"/>
      <w:marTop w:val="0"/>
      <w:marBottom w:val="0"/>
      <w:divBdr>
        <w:top w:val="none" w:sz="0" w:space="0" w:color="auto"/>
        <w:left w:val="none" w:sz="0" w:space="0" w:color="auto"/>
        <w:bottom w:val="none" w:sz="0" w:space="0" w:color="auto"/>
        <w:right w:val="none" w:sz="0" w:space="0" w:color="auto"/>
      </w:divBdr>
    </w:div>
    <w:div w:id="890195198">
      <w:bodyDiv w:val="1"/>
      <w:marLeft w:val="0"/>
      <w:marRight w:val="0"/>
      <w:marTop w:val="0"/>
      <w:marBottom w:val="0"/>
      <w:divBdr>
        <w:top w:val="none" w:sz="0" w:space="0" w:color="auto"/>
        <w:left w:val="none" w:sz="0" w:space="0" w:color="auto"/>
        <w:bottom w:val="none" w:sz="0" w:space="0" w:color="auto"/>
        <w:right w:val="none" w:sz="0" w:space="0" w:color="auto"/>
      </w:divBdr>
    </w:div>
    <w:div w:id="932786436">
      <w:bodyDiv w:val="1"/>
      <w:marLeft w:val="0"/>
      <w:marRight w:val="0"/>
      <w:marTop w:val="0"/>
      <w:marBottom w:val="0"/>
      <w:divBdr>
        <w:top w:val="none" w:sz="0" w:space="0" w:color="auto"/>
        <w:left w:val="none" w:sz="0" w:space="0" w:color="auto"/>
        <w:bottom w:val="none" w:sz="0" w:space="0" w:color="auto"/>
        <w:right w:val="none" w:sz="0" w:space="0" w:color="auto"/>
      </w:divBdr>
      <w:divsChild>
        <w:div w:id="1623731681">
          <w:marLeft w:val="0"/>
          <w:marRight w:val="0"/>
          <w:marTop w:val="0"/>
          <w:marBottom w:val="660"/>
          <w:divBdr>
            <w:top w:val="none" w:sz="0" w:space="0" w:color="auto"/>
            <w:left w:val="none" w:sz="0" w:space="0" w:color="auto"/>
            <w:bottom w:val="none" w:sz="0" w:space="0" w:color="auto"/>
            <w:right w:val="none" w:sz="0" w:space="0" w:color="auto"/>
          </w:divBdr>
          <w:divsChild>
            <w:div w:id="1775857601">
              <w:marLeft w:val="0"/>
              <w:marRight w:val="0"/>
              <w:marTop w:val="0"/>
              <w:marBottom w:val="0"/>
              <w:divBdr>
                <w:top w:val="none" w:sz="0" w:space="0" w:color="auto"/>
                <w:left w:val="none" w:sz="0" w:space="0" w:color="auto"/>
                <w:bottom w:val="none" w:sz="0" w:space="0" w:color="auto"/>
                <w:right w:val="none" w:sz="0" w:space="0" w:color="auto"/>
              </w:divBdr>
              <w:divsChild>
                <w:div w:id="1044403806">
                  <w:marLeft w:val="0"/>
                  <w:marRight w:val="0"/>
                  <w:marTop w:val="0"/>
                  <w:marBottom w:val="0"/>
                  <w:divBdr>
                    <w:top w:val="none" w:sz="0" w:space="0" w:color="auto"/>
                    <w:left w:val="none" w:sz="0" w:space="0" w:color="auto"/>
                    <w:bottom w:val="none" w:sz="0" w:space="0" w:color="auto"/>
                    <w:right w:val="none" w:sz="0" w:space="0" w:color="auto"/>
                  </w:divBdr>
                  <w:divsChild>
                    <w:div w:id="1008479500">
                      <w:marLeft w:val="0"/>
                      <w:marRight w:val="0"/>
                      <w:marTop w:val="0"/>
                      <w:marBottom w:val="450"/>
                      <w:divBdr>
                        <w:top w:val="none" w:sz="0" w:space="0" w:color="auto"/>
                        <w:left w:val="none" w:sz="0" w:space="0" w:color="auto"/>
                        <w:bottom w:val="none" w:sz="0" w:space="0" w:color="auto"/>
                        <w:right w:val="none" w:sz="0" w:space="0" w:color="auto"/>
                      </w:divBdr>
                      <w:divsChild>
                        <w:div w:id="1577474880">
                          <w:marLeft w:val="0"/>
                          <w:marRight w:val="0"/>
                          <w:marTop w:val="0"/>
                          <w:marBottom w:val="0"/>
                          <w:divBdr>
                            <w:top w:val="none" w:sz="0" w:space="0" w:color="auto"/>
                            <w:left w:val="none" w:sz="0" w:space="0" w:color="auto"/>
                            <w:bottom w:val="none" w:sz="0" w:space="0" w:color="auto"/>
                            <w:right w:val="none" w:sz="0" w:space="0" w:color="auto"/>
                          </w:divBdr>
                          <w:divsChild>
                            <w:div w:id="417168552">
                              <w:marLeft w:val="0"/>
                              <w:marRight w:val="0"/>
                              <w:marTop w:val="0"/>
                              <w:marBottom w:val="0"/>
                              <w:divBdr>
                                <w:top w:val="none" w:sz="0" w:space="0" w:color="auto"/>
                                <w:left w:val="none" w:sz="0" w:space="0" w:color="auto"/>
                                <w:bottom w:val="none" w:sz="0" w:space="0" w:color="auto"/>
                                <w:right w:val="none" w:sz="0" w:space="0" w:color="auto"/>
                              </w:divBdr>
                              <w:divsChild>
                                <w:div w:id="2030598728">
                                  <w:marLeft w:val="0"/>
                                  <w:marRight w:val="0"/>
                                  <w:marTop w:val="0"/>
                                  <w:marBottom w:val="0"/>
                                  <w:divBdr>
                                    <w:top w:val="none" w:sz="0" w:space="0" w:color="auto"/>
                                    <w:left w:val="none" w:sz="0" w:space="0" w:color="auto"/>
                                    <w:bottom w:val="none" w:sz="0" w:space="0" w:color="auto"/>
                                    <w:right w:val="none" w:sz="0" w:space="0" w:color="auto"/>
                                  </w:divBdr>
                                  <w:divsChild>
                                    <w:div w:id="1795437761">
                                      <w:marLeft w:val="0"/>
                                      <w:marRight w:val="0"/>
                                      <w:marTop w:val="0"/>
                                      <w:marBottom w:val="0"/>
                                      <w:divBdr>
                                        <w:top w:val="none" w:sz="0" w:space="0" w:color="auto"/>
                                        <w:left w:val="none" w:sz="0" w:space="0" w:color="auto"/>
                                        <w:bottom w:val="none" w:sz="0" w:space="0" w:color="auto"/>
                                        <w:right w:val="none" w:sz="0" w:space="0" w:color="auto"/>
                                      </w:divBdr>
                                      <w:divsChild>
                                        <w:div w:id="2070689982">
                                          <w:marLeft w:val="0"/>
                                          <w:marRight w:val="0"/>
                                          <w:marTop w:val="0"/>
                                          <w:marBottom w:val="0"/>
                                          <w:divBdr>
                                            <w:top w:val="none" w:sz="0" w:space="0" w:color="auto"/>
                                            <w:left w:val="none" w:sz="0" w:space="0" w:color="auto"/>
                                            <w:bottom w:val="none" w:sz="0" w:space="0" w:color="auto"/>
                                            <w:right w:val="none" w:sz="0" w:space="0" w:color="auto"/>
                                          </w:divBdr>
                                          <w:divsChild>
                                            <w:div w:id="34280809">
                                              <w:marLeft w:val="0"/>
                                              <w:marRight w:val="0"/>
                                              <w:marTop w:val="0"/>
                                              <w:marBottom w:val="0"/>
                                              <w:divBdr>
                                                <w:top w:val="none" w:sz="0" w:space="0" w:color="auto"/>
                                                <w:left w:val="none" w:sz="0" w:space="0" w:color="auto"/>
                                                <w:bottom w:val="none" w:sz="0" w:space="0" w:color="auto"/>
                                                <w:right w:val="none" w:sz="0" w:space="0" w:color="auto"/>
                                              </w:divBdr>
                                              <w:divsChild>
                                                <w:div w:id="1059061763">
                                                  <w:marLeft w:val="0"/>
                                                  <w:marRight w:val="0"/>
                                                  <w:marTop w:val="0"/>
                                                  <w:marBottom w:val="0"/>
                                                  <w:divBdr>
                                                    <w:top w:val="none" w:sz="0" w:space="0" w:color="auto"/>
                                                    <w:left w:val="none" w:sz="0" w:space="0" w:color="auto"/>
                                                    <w:bottom w:val="none" w:sz="0" w:space="0" w:color="auto"/>
                                                    <w:right w:val="none" w:sz="0" w:space="0" w:color="auto"/>
                                                  </w:divBdr>
                                                  <w:divsChild>
                                                    <w:div w:id="1105155586">
                                                      <w:marLeft w:val="0"/>
                                                      <w:marRight w:val="0"/>
                                                      <w:marTop w:val="0"/>
                                                      <w:marBottom w:val="0"/>
                                                      <w:divBdr>
                                                        <w:top w:val="none" w:sz="0" w:space="0" w:color="auto"/>
                                                        <w:left w:val="none" w:sz="0" w:space="0" w:color="auto"/>
                                                        <w:bottom w:val="none" w:sz="0" w:space="0" w:color="auto"/>
                                                        <w:right w:val="none" w:sz="0" w:space="0" w:color="auto"/>
                                                      </w:divBdr>
                                                      <w:divsChild>
                                                        <w:div w:id="420687550">
                                                          <w:marLeft w:val="0"/>
                                                          <w:marRight w:val="0"/>
                                                          <w:marTop w:val="0"/>
                                                          <w:marBottom w:val="0"/>
                                                          <w:divBdr>
                                                            <w:top w:val="none" w:sz="0" w:space="0" w:color="auto"/>
                                                            <w:left w:val="none" w:sz="0" w:space="0" w:color="auto"/>
                                                            <w:bottom w:val="none" w:sz="0" w:space="0" w:color="auto"/>
                                                            <w:right w:val="none" w:sz="0" w:space="0" w:color="auto"/>
                                                          </w:divBdr>
                                                          <w:divsChild>
                                                            <w:div w:id="5532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896168">
                                  <w:marLeft w:val="0"/>
                                  <w:marRight w:val="0"/>
                                  <w:marTop w:val="240"/>
                                  <w:marBottom w:val="0"/>
                                  <w:divBdr>
                                    <w:top w:val="none" w:sz="0" w:space="0" w:color="auto"/>
                                    <w:left w:val="none" w:sz="0" w:space="0" w:color="auto"/>
                                    <w:bottom w:val="none" w:sz="0" w:space="0" w:color="auto"/>
                                    <w:right w:val="none" w:sz="0" w:space="0" w:color="auto"/>
                                  </w:divBdr>
                                  <w:divsChild>
                                    <w:div w:id="794568966">
                                      <w:marLeft w:val="210"/>
                                      <w:marRight w:val="0"/>
                                      <w:marTop w:val="0"/>
                                      <w:marBottom w:val="0"/>
                                      <w:divBdr>
                                        <w:top w:val="none" w:sz="0" w:space="0" w:color="auto"/>
                                        <w:left w:val="none" w:sz="0" w:space="0" w:color="auto"/>
                                        <w:bottom w:val="none" w:sz="0" w:space="0" w:color="auto"/>
                                        <w:right w:val="none" w:sz="0" w:space="0" w:color="auto"/>
                                      </w:divBdr>
                                      <w:divsChild>
                                        <w:div w:id="1831405660">
                                          <w:marLeft w:val="0"/>
                                          <w:marRight w:val="0"/>
                                          <w:marTop w:val="0"/>
                                          <w:marBottom w:val="0"/>
                                          <w:divBdr>
                                            <w:top w:val="none" w:sz="0" w:space="0" w:color="auto"/>
                                            <w:left w:val="none" w:sz="0" w:space="0" w:color="auto"/>
                                            <w:bottom w:val="none" w:sz="0" w:space="0" w:color="auto"/>
                                            <w:right w:val="none" w:sz="0" w:space="0" w:color="auto"/>
                                          </w:divBdr>
                                          <w:divsChild>
                                            <w:div w:id="266547827">
                                              <w:marLeft w:val="0"/>
                                              <w:marRight w:val="0"/>
                                              <w:marTop w:val="0"/>
                                              <w:marBottom w:val="0"/>
                                              <w:divBdr>
                                                <w:top w:val="none" w:sz="0" w:space="0" w:color="auto"/>
                                                <w:left w:val="none" w:sz="0" w:space="0" w:color="auto"/>
                                                <w:bottom w:val="none" w:sz="0" w:space="0" w:color="auto"/>
                                                <w:right w:val="none" w:sz="0" w:space="0" w:color="auto"/>
                                              </w:divBdr>
                                              <w:divsChild>
                                                <w:div w:id="14669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681056">
          <w:marLeft w:val="0"/>
          <w:marRight w:val="0"/>
          <w:marTop w:val="0"/>
          <w:marBottom w:val="0"/>
          <w:divBdr>
            <w:top w:val="none" w:sz="0" w:space="0" w:color="auto"/>
            <w:left w:val="none" w:sz="0" w:space="0" w:color="auto"/>
            <w:bottom w:val="none" w:sz="0" w:space="0" w:color="auto"/>
            <w:right w:val="none" w:sz="0" w:space="0" w:color="auto"/>
          </w:divBdr>
          <w:divsChild>
            <w:div w:id="66924362">
              <w:marLeft w:val="0"/>
              <w:marRight w:val="0"/>
              <w:marTop w:val="0"/>
              <w:marBottom w:val="0"/>
              <w:divBdr>
                <w:top w:val="none" w:sz="0" w:space="0" w:color="auto"/>
                <w:left w:val="none" w:sz="0" w:space="0" w:color="auto"/>
                <w:bottom w:val="none" w:sz="0" w:space="0" w:color="auto"/>
                <w:right w:val="none" w:sz="0" w:space="0" w:color="auto"/>
              </w:divBdr>
              <w:divsChild>
                <w:div w:id="1608805580">
                  <w:marLeft w:val="0"/>
                  <w:marRight w:val="0"/>
                  <w:marTop w:val="0"/>
                  <w:marBottom w:val="450"/>
                  <w:divBdr>
                    <w:top w:val="none" w:sz="0" w:space="0" w:color="auto"/>
                    <w:left w:val="none" w:sz="0" w:space="0" w:color="auto"/>
                    <w:bottom w:val="none" w:sz="0" w:space="0" w:color="auto"/>
                    <w:right w:val="none" w:sz="0" w:space="0" w:color="auto"/>
                  </w:divBdr>
                  <w:divsChild>
                    <w:div w:id="1093091785">
                      <w:marLeft w:val="0"/>
                      <w:marRight w:val="0"/>
                      <w:marTop w:val="0"/>
                      <w:marBottom w:val="0"/>
                      <w:divBdr>
                        <w:top w:val="none" w:sz="0" w:space="0" w:color="auto"/>
                        <w:left w:val="none" w:sz="0" w:space="0" w:color="auto"/>
                        <w:bottom w:val="none" w:sz="0" w:space="0" w:color="auto"/>
                        <w:right w:val="none" w:sz="0" w:space="0" w:color="auto"/>
                      </w:divBdr>
                      <w:divsChild>
                        <w:div w:id="878123402">
                          <w:marLeft w:val="0"/>
                          <w:marRight w:val="0"/>
                          <w:marTop w:val="0"/>
                          <w:marBottom w:val="0"/>
                          <w:divBdr>
                            <w:top w:val="none" w:sz="0" w:space="0" w:color="auto"/>
                            <w:left w:val="none" w:sz="0" w:space="0" w:color="auto"/>
                            <w:bottom w:val="none" w:sz="0" w:space="0" w:color="auto"/>
                            <w:right w:val="none" w:sz="0" w:space="0" w:color="auto"/>
                          </w:divBdr>
                          <w:divsChild>
                            <w:div w:id="1790664582">
                              <w:marLeft w:val="0"/>
                              <w:marRight w:val="0"/>
                              <w:marTop w:val="0"/>
                              <w:marBottom w:val="0"/>
                              <w:divBdr>
                                <w:top w:val="none" w:sz="0" w:space="0" w:color="auto"/>
                                <w:left w:val="none" w:sz="0" w:space="0" w:color="auto"/>
                                <w:bottom w:val="none" w:sz="0" w:space="0" w:color="auto"/>
                                <w:right w:val="none" w:sz="0" w:space="0" w:color="auto"/>
                              </w:divBdr>
                              <w:divsChild>
                                <w:div w:id="2134521389">
                                  <w:marLeft w:val="0"/>
                                  <w:marRight w:val="0"/>
                                  <w:marTop w:val="0"/>
                                  <w:marBottom w:val="0"/>
                                  <w:divBdr>
                                    <w:top w:val="none" w:sz="0" w:space="0" w:color="auto"/>
                                    <w:left w:val="none" w:sz="0" w:space="0" w:color="auto"/>
                                    <w:bottom w:val="none" w:sz="0" w:space="0" w:color="auto"/>
                                    <w:right w:val="none" w:sz="0" w:space="0" w:color="auto"/>
                                  </w:divBdr>
                                  <w:divsChild>
                                    <w:div w:id="1180045797">
                                      <w:marLeft w:val="0"/>
                                      <w:marRight w:val="0"/>
                                      <w:marTop w:val="0"/>
                                      <w:marBottom w:val="0"/>
                                      <w:divBdr>
                                        <w:top w:val="none" w:sz="0" w:space="0" w:color="auto"/>
                                        <w:left w:val="none" w:sz="0" w:space="0" w:color="auto"/>
                                        <w:bottom w:val="none" w:sz="0" w:space="0" w:color="auto"/>
                                        <w:right w:val="none" w:sz="0" w:space="0" w:color="auto"/>
                                      </w:divBdr>
                                      <w:divsChild>
                                        <w:div w:id="1512837994">
                                          <w:marLeft w:val="0"/>
                                          <w:marRight w:val="0"/>
                                          <w:marTop w:val="0"/>
                                          <w:marBottom w:val="0"/>
                                          <w:divBdr>
                                            <w:top w:val="none" w:sz="0" w:space="0" w:color="auto"/>
                                            <w:left w:val="none" w:sz="0" w:space="0" w:color="auto"/>
                                            <w:bottom w:val="none" w:sz="0" w:space="0" w:color="auto"/>
                                            <w:right w:val="none" w:sz="0" w:space="0" w:color="auto"/>
                                          </w:divBdr>
                                          <w:divsChild>
                                            <w:div w:id="17901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359064">
      <w:bodyDiv w:val="1"/>
      <w:marLeft w:val="0"/>
      <w:marRight w:val="0"/>
      <w:marTop w:val="0"/>
      <w:marBottom w:val="0"/>
      <w:divBdr>
        <w:top w:val="none" w:sz="0" w:space="0" w:color="auto"/>
        <w:left w:val="none" w:sz="0" w:space="0" w:color="auto"/>
        <w:bottom w:val="none" w:sz="0" w:space="0" w:color="auto"/>
        <w:right w:val="none" w:sz="0" w:space="0" w:color="auto"/>
      </w:divBdr>
    </w:div>
    <w:div w:id="1051230024">
      <w:bodyDiv w:val="1"/>
      <w:marLeft w:val="0"/>
      <w:marRight w:val="0"/>
      <w:marTop w:val="0"/>
      <w:marBottom w:val="0"/>
      <w:divBdr>
        <w:top w:val="none" w:sz="0" w:space="0" w:color="auto"/>
        <w:left w:val="none" w:sz="0" w:space="0" w:color="auto"/>
        <w:bottom w:val="none" w:sz="0" w:space="0" w:color="auto"/>
        <w:right w:val="none" w:sz="0" w:space="0" w:color="auto"/>
      </w:divBdr>
    </w:div>
    <w:div w:id="1055156382">
      <w:bodyDiv w:val="1"/>
      <w:marLeft w:val="0"/>
      <w:marRight w:val="0"/>
      <w:marTop w:val="0"/>
      <w:marBottom w:val="0"/>
      <w:divBdr>
        <w:top w:val="none" w:sz="0" w:space="0" w:color="auto"/>
        <w:left w:val="none" w:sz="0" w:space="0" w:color="auto"/>
        <w:bottom w:val="none" w:sz="0" w:space="0" w:color="auto"/>
        <w:right w:val="none" w:sz="0" w:space="0" w:color="auto"/>
      </w:divBdr>
    </w:div>
    <w:div w:id="14554437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585">
          <w:marLeft w:val="0"/>
          <w:marRight w:val="0"/>
          <w:marTop w:val="0"/>
          <w:marBottom w:val="0"/>
          <w:divBdr>
            <w:top w:val="none" w:sz="0" w:space="0" w:color="auto"/>
            <w:left w:val="none" w:sz="0" w:space="0" w:color="auto"/>
            <w:bottom w:val="none" w:sz="0" w:space="0" w:color="auto"/>
            <w:right w:val="none" w:sz="0" w:space="0" w:color="auto"/>
          </w:divBdr>
          <w:divsChild>
            <w:div w:id="1635410640">
              <w:marLeft w:val="0"/>
              <w:marRight w:val="0"/>
              <w:marTop w:val="0"/>
              <w:marBottom w:val="0"/>
              <w:divBdr>
                <w:top w:val="none" w:sz="0" w:space="0" w:color="auto"/>
                <w:left w:val="none" w:sz="0" w:space="0" w:color="auto"/>
                <w:bottom w:val="none" w:sz="0" w:space="0" w:color="auto"/>
                <w:right w:val="none" w:sz="0" w:space="0" w:color="auto"/>
              </w:divBdr>
              <w:divsChild>
                <w:div w:id="512719690">
                  <w:marLeft w:val="0"/>
                  <w:marRight w:val="0"/>
                  <w:marTop w:val="0"/>
                  <w:marBottom w:val="0"/>
                  <w:divBdr>
                    <w:top w:val="none" w:sz="0" w:space="0" w:color="auto"/>
                    <w:left w:val="none" w:sz="0" w:space="0" w:color="auto"/>
                    <w:bottom w:val="none" w:sz="0" w:space="0" w:color="auto"/>
                    <w:right w:val="none" w:sz="0" w:space="0" w:color="auto"/>
                  </w:divBdr>
                  <w:divsChild>
                    <w:div w:id="1841040392">
                      <w:marLeft w:val="0"/>
                      <w:marRight w:val="0"/>
                      <w:marTop w:val="0"/>
                      <w:marBottom w:val="0"/>
                      <w:divBdr>
                        <w:top w:val="none" w:sz="0" w:space="0" w:color="auto"/>
                        <w:left w:val="none" w:sz="0" w:space="0" w:color="auto"/>
                        <w:bottom w:val="none" w:sz="0" w:space="0" w:color="auto"/>
                        <w:right w:val="none" w:sz="0" w:space="0" w:color="auto"/>
                      </w:divBdr>
                      <w:divsChild>
                        <w:div w:id="758411979">
                          <w:marLeft w:val="0"/>
                          <w:marRight w:val="0"/>
                          <w:marTop w:val="0"/>
                          <w:marBottom w:val="0"/>
                          <w:divBdr>
                            <w:top w:val="none" w:sz="0" w:space="0" w:color="auto"/>
                            <w:left w:val="none" w:sz="0" w:space="0" w:color="auto"/>
                            <w:bottom w:val="none" w:sz="0" w:space="0" w:color="auto"/>
                            <w:right w:val="none" w:sz="0" w:space="0" w:color="auto"/>
                          </w:divBdr>
                          <w:divsChild>
                            <w:div w:id="1146899115">
                              <w:marLeft w:val="0"/>
                              <w:marRight w:val="0"/>
                              <w:marTop w:val="0"/>
                              <w:marBottom w:val="0"/>
                              <w:divBdr>
                                <w:top w:val="none" w:sz="0" w:space="0" w:color="auto"/>
                                <w:left w:val="none" w:sz="0" w:space="0" w:color="auto"/>
                                <w:bottom w:val="none" w:sz="0" w:space="0" w:color="auto"/>
                                <w:right w:val="none" w:sz="0" w:space="0" w:color="auto"/>
                              </w:divBdr>
                              <w:divsChild>
                                <w:div w:id="754085460">
                                  <w:marLeft w:val="0"/>
                                  <w:marRight w:val="0"/>
                                  <w:marTop w:val="0"/>
                                  <w:marBottom w:val="0"/>
                                  <w:divBdr>
                                    <w:top w:val="none" w:sz="0" w:space="0" w:color="auto"/>
                                    <w:left w:val="none" w:sz="0" w:space="0" w:color="auto"/>
                                    <w:bottom w:val="none" w:sz="0" w:space="0" w:color="auto"/>
                                    <w:right w:val="none" w:sz="0" w:space="0" w:color="auto"/>
                                  </w:divBdr>
                                  <w:divsChild>
                                    <w:div w:id="2672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318463">
      <w:bodyDiv w:val="1"/>
      <w:marLeft w:val="0"/>
      <w:marRight w:val="0"/>
      <w:marTop w:val="0"/>
      <w:marBottom w:val="0"/>
      <w:divBdr>
        <w:top w:val="none" w:sz="0" w:space="0" w:color="auto"/>
        <w:left w:val="none" w:sz="0" w:space="0" w:color="auto"/>
        <w:bottom w:val="none" w:sz="0" w:space="0" w:color="auto"/>
        <w:right w:val="none" w:sz="0" w:space="0" w:color="auto"/>
      </w:divBdr>
    </w:div>
    <w:div w:id="1512259057">
      <w:bodyDiv w:val="1"/>
      <w:marLeft w:val="0"/>
      <w:marRight w:val="0"/>
      <w:marTop w:val="0"/>
      <w:marBottom w:val="0"/>
      <w:divBdr>
        <w:top w:val="none" w:sz="0" w:space="0" w:color="auto"/>
        <w:left w:val="none" w:sz="0" w:space="0" w:color="auto"/>
        <w:bottom w:val="none" w:sz="0" w:space="0" w:color="auto"/>
        <w:right w:val="none" w:sz="0" w:space="0" w:color="auto"/>
      </w:divBdr>
    </w:div>
    <w:div w:id="1593318053">
      <w:bodyDiv w:val="1"/>
      <w:marLeft w:val="0"/>
      <w:marRight w:val="0"/>
      <w:marTop w:val="0"/>
      <w:marBottom w:val="0"/>
      <w:divBdr>
        <w:top w:val="none" w:sz="0" w:space="0" w:color="auto"/>
        <w:left w:val="none" w:sz="0" w:space="0" w:color="auto"/>
        <w:bottom w:val="none" w:sz="0" w:space="0" w:color="auto"/>
        <w:right w:val="none" w:sz="0" w:space="0" w:color="auto"/>
      </w:divBdr>
    </w:div>
    <w:div w:id="1631396512">
      <w:bodyDiv w:val="1"/>
      <w:marLeft w:val="0"/>
      <w:marRight w:val="0"/>
      <w:marTop w:val="0"/>
      <w:marBottom w:val="0"/>
      <w:divBdr>
        <w:top w:val="none" w:sz="0" w:space="0" w:color="auto"/>
        <w:left w:val="none" w:sz="0" w:space="0" w:color="auto"/>
        <w:bottom w:val="none" w:sz="0" w:space="0" w:color="auto"/>
        <w:right w:val="none" w:sz="0" w:space="0" w:color="auto"/>
      </w:divBdr>
    </w:div>
    <w:div w:id="1683049386">
      <w:bodyDiv w:val="1"/>
      <w:marLeft w:val="0"/>
      <w:marRight w:val="0"/>
      <w:marTop w:val="0"/>
      <w:marBottom w:val="0"/>
      <w:divBdr>
        <w:top w:val="none" w:sz="0" w:space="0" w:color="auto"/>
        <w:left w:val="none" w:sz="0" w:space="0" w:color="auto"/>
        <w:bottom w:val="none" w:sz="0" w:space="0" w:color="auto"/>
        <w:right w:val="none" w:sz="0" w:space="0" w:color="auto"/>
      </w:divBdr>
    </w:div>
    <w:div w:id="1703898266">
      <w:bodyDiv w:val="1"/>
      <w:marLeft w:val="0"/>
      <w:marRight w:val="0"/>
      <w:marTop w:val="0"/>
      <w:marBottom w:val="0"/>
      <w:divBdr>
        <w:top w:val="none" w:sz="0" w:space="0" w:color="auto"/>
        <w:left w:val="none" w:sz="0" w:space="0" w:color="auto"/>
        <w:bottom w:val="none" w:sz="0" w:space="0" w:color="auto"/>
        <w:right w:val="none" w:sz="0" w:space="0" w:color="auto"/>
      </w:divBdr>
    </w:div>
    <w:div w:id="1766732038">
      <w:bodyDiv w:val="1"/>
      <w:marLeft w:val="0"/>
      <w:marRight w:val="0"/>
      <w:marTop w:val="0"/>
      <w:marBottom w:val="0"/>
      <w:divBdr>
        <w:top w:val="none" w:sz="0" w:space="0" w:color="auto"/>
        <w:left w:val="none" w:sz="0" w:space="0" w:color="auto"/>
        <w:bottom w:val="none" w:sz="0" w:space="0" w:color="auto"/>
        <w:right w:val="none" w:sz="0" w:space="0" w:color="auto"/>
      </w:divBdr>
    </w:div>
    <w:div w:id="2023169410">
      <w:bodyDiv w:val="1"/>
      <w:marLeft w:val="0"/>
      <w:marRight w:val="0"/>
      <w:marTop w:val="0"/>
      <w:marBottom w:val="0"/>
      <w:divBdr>
        <w:top w:val="none" w:sz="0" w:space="0" w:color="auto"/>
        <w:left w:val="none" w:sz="0" w:space="0" w:color="auto"/>
        <w:bottom w:val="none" w:sz="0" w:space="0" w:color="auto"/>
        <w:right w:val="none" w:sz="0" w:space="0" w:color="auto"/>
      </w:divBdr>
    </w:div>
    <w:div w:id="2025204960">
      <w:bodyDiv w:val="1"/>
      <w:marLeft w:val="0"/>
      <w:marRight w:val="0"/>
      <w:marTop w:val="0"/>
      <w:marBottom w:val="0"/>
      <w:divBdr>
        <w:top w:val="none" w:sz="0" w:space="0" w:color="auto"/>
        <w:left w:val="none" w:sz="0" w:space="0" w:color="auto"/>
        <w:bottom w:val="none" w:sz="0" w:space="0" w:color="auto"/>
        <w:right w:val="none" w:sz="0" w:space="0" w:color="auto"/>
      </w:divBdr>
    </w:div>
    <w:div w:id="206255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ustainablemediterranea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pa@ldk.g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channel/UCAzpiF3SYfhqnBFVt4Yxsm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witter.com/WesMed1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nkedin.com/company/wes-med-projec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A2630-5324-4BCF-991A-24A20382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1251</Words>
  <Characters>7133</Characters>
  <Application>Microsoft Office Word</Application>
  <DocSecurity>0</DocSecurity>
  <Lines>59</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Papadogeorgaki</cp:lastModifiedBy>
  <cp:revision>5</cp:revision>
  <dcterms:created xsi:type="dcterms:W3CDTF">2025-05-25T13:22:00Z</dcterms:created>
  <dcterms:modified xsi:type="dcterms:W3CDTF">2025-05-26T06:42:00Z</dcterms:modified>
</cp:coreProperties>
</file>